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DA4B5" w14:textId="15C277F6" w:rsidR="005B69AA" w:rsidRDefault="002E0835">
      <w:pPr>
        <w:rPr>
          <w:rFonts w:ascii="Calibri" w:hAnsi="Calibri" w:cs="Calibri"/>
          <w:b/>
          <w:bCs/>
          <w:sz w:val="44"/>
          <w:szCs w:val="44"/>
        </w:rPr>
      </w:pPr>
      <w:r w:rsidRPr="002E0835">
        <w:rPr>
          <w:rFonts w:ascii="Calibri" w:hAnsi="Calibri" w:cs="Calibri"/>
          <w:b/>
          <w:bCs/>
          <w:sz w:val="44"/>
          <w:szCs w:val="44"/>
        </w:rPr>
        <w:t>Ockbrook and Borrowash Parish Council</w:t>
      </w:r>
    </w:p>
    <w:p w14:paraId="2528C9E4" w14:textId="255E68F9" w:rsidR="002E0835" w:rsidRDefault="002E0835">
      <w:pPr>
        <w:rPr>
          <w:rFonts w:ascii="Calibri" w:hAnsi="Calibri" w:cs="Calibri"/>
          <w:b/>
          <w:bCs/>
          <w:sz w:val="24"/>
          <w:szCs w:val="24"/>
        </w:rPr>
      </w:pPr>
      <w:r>
        <w:rPr>
          <w:rFonts w:ascii="Calibri" w:hAnsi="Calibri" w:cs="Calibri"/>
          <w:b/>
          <w:bCs/>
          <w:sz w:val="24"/>
          <w:szCs w:val="24"/>
        </w:rPr>
        <w:t xml:space="preserve">Balmoral Cemetery fees as of the </w:t>
      </w:r>
      <w:r w:rsidR="00225B3C">
        <w:rPr>
          <w:rFonts w:ascii="Calibri" w:hAnsi="Calibri" w:cs="Calibri"/>
          <w:b/>
          <w:bCs/>
          <w:sz w:val="24"/>
          <w:szCs w:val="24"/>
        </w:rPr>
        <w:t>4</w:t>
      </w:r>
      <w:r w:rsidR="00225B3C" w:rsidRPr="00225B3C">
        <w:rPr>
          <w:rFonts w:ascii="Calibri" w:hAnsi="Calibri" w:cs="Calibri"/>
          <w:b/>
          <w:bCs/>
          <w:sz w:val="24"/>
          <w:szCs w:val="24"/>
          <w:vertAlign w:val="superscript"/>
        </w:rPr>
        <w:t>th</w:t>
      </w:r>
      <w:r w:rsidR="00225B3C">
        <w:rPr>
          <w:rFonts w:ascii="Calibri" w:hAnsi="Calibri" w:cs="Calibri"/>
          <w:b/>
          <w:bCs/>
          <w:sz w:val="24"/>
          <w:szCs w:val="24"/>
        </w:rPr>
        <w:t xml:space="preserve"> July</w:t>
      </w:r>
      <w:r>
        <w:rPr>
          <w:rFonts w:ascii="Calibri" w:hAnsi="Calibri" w:cs="Calibri"/>
          <w:b/>
          <w:bCs/>
          <w:sz w:val="24"/>
          <w:szCs w:val="24"/>
        </w:rPr>
        <w:t xml:space="preserve"> 2024</w:t>
      </w:r>
      <w:r w:rsidR="00083BBF">
        <w:rPr>
          <w:rFonts w:ascii="Calibri" w:hAnsi="Calibri" w:cs="Calibri"/>
          <w:b/>
          <w:bCs/>
          <w:sz w:val="24"/>
          <w:szCs w:val="24"/>
        </w:rPr>
        <w:t>.</w:t>
      </w:r>
    </w:p>
    <w:p w14:paraId="5EDD0C8D" w14:textId="5C773F78" w:rsidR="002E0835" w:rsidRDefault="002E0835">
      <w:pPr>
        <w:rPr>
          <w:rFonts w:ascii="Calibri" w:hAnsi="Calibri" w:cs="Calibri"/>
          <w:b/>
          <w:bCs/>
          <w:sz w:val="24"/>
          <w:szCs w:val="24"/>
        </w:rPr>
      </w:pPr>
      <w:r>
        <w:rPr>
          <w:rFonts w:ascii="Calibri" w:hAnsi="Calibri" w:cs="Calibri"/>
          <w:b/>
          <w:bCs/>
          <w:sz w:val="24"/>
          <w:szCs w:val="24"/>
        </w:rPr>
        <w:t xml:space="preserve">We are only able to provide single graves, the adjacent plot should be purchased at the same time to ensure the plot is retained for family use. </w:t>
      </w:r>
    </w:p>
    <w:tbl>
      <w:tblPr>
        <w:tblStyle w:val="TableGrid"/>
        <w:tblW w:w="0" w:type="auto"/>
        <w:tblLook w:val="04A0" w:firstRow="1" w:lastRow="0" w:firstColumn="1" w:lastColumn="0" w:noHBand="0" w:noVBand="1"/>
      </w:tblPr>
      <w:tblGrid>
        <w:gridCol w:w="3005"/>
        <w:gridCol w:w="3005"/>
        <w:gridCol w:w="3006"/>
      </w:tblGrid>
      <w:tr w:rsidR="002E0835" w14:paraId="43E77A35" w14:textId="77777777" w:rsidTr="002E0835">
        <w:trPr>
          <w:trHeight w:val="708"/>
        </w:trPr>
        <w:tc>
          <w:tcPr>
            <w:tcW w:w="3005" w:type="dxa"/>
          </w:tcPr>
          <w:p w14:paraId="6CF023EC" w14:textId="77777777" w:rsidR="002E0835" w:rsidRDefault="002E0835">
            <w:pPr>
              <w:rPr>
                <w:rFonts w:ascii="Calibri" w:hAnsi="Calibri" w:cs="Calibri"/>
                <w:b/>
                <w:bCs/>
                <w:sz w:val="24"/>
                <w:szCs w:val="24"/>
              </w:rPr>
            </w:pPr>
            <w:r>
              <w:rPr>
                <w:rFonts w:ascii="Calibri" w:hAnsi="Calibri" w:cs="Calibri"/>
                <w:b/>
                <w:bCs/>
                <w:sz w:val="24"/>
                <w:szCs w:val="24"/>
              </w:rPr>
              <w:t>CHARGES FOR:</w:t>
            </w:r>
          </w:p>
          <w:p w14:paraId="17AB5BAE" w14:textId="77777777" w:rsidR="00083BBF" w:rsidRDefault="00083BBF">
            <w:pPr>
              <w:rPr>
                <w:rFonts w:ascii="Calibri" w:hAnsi="Calibri" w:cs="Calibri"/>
                <w:b/>
                <w:bCs/>
                <w:sz w:val="24"/>
                <w:szCs w:val="24"/>
              </w:rPr>
            </w:pPr>
          </w:p>
          <w:p w14:paraId="7675971A" w14:textId="482C2880" w:rsidR="00083BBF" w:rsidRDefault="00083BBF">
            <w:pPr>
              <w:rPr>
                <w:rFonts w:ascii="Calibri" w:hAnsi="Calibri" w:cs="Calibri"/>
                <w:b/>
                <w:bCs/>
                <w:sz w:val="24"/>
                <w:szCs w:val="24"/>
              </w:rPr>
            </w:pPr>
          </w:p>
        </w:tc>
        <w:tc>
          <w:tcPr>
            <w:tcW w:w="3005" w:type="dxa"/>
          </w:tcPr>
          <w:p w14:paraId="1832B3B0" w14:textId="054C499A" w:rsidR="002E0835" w:rsidRDefault="002E0835">
            <w:pPr>
              <w:rPr>
                <w:rFonts w:ascii="Calibri" w:hAnsi="Calibri" w:cs="Calibri"/>
                <w:b/>
                <w:bCs/>
                <w:sz w:val="24"/>
                <w:szCs w:val="24"/>
              </w:rPr>
            </w:pPr>
            <w:r>
              <w:rPr>
                <w:rFonts w:ascii="Calibri" w:hAnsi="Calibri" w:cs="Calibri"/>
                <w:b/>
                <w:bCs/>
                <w:sz w:val="24"/>
                <w:szCs w:val="24"/>
              </w:rPr>
              <w:t xml:space="preserve">RESIDENT CHARGES </w:t>
            </w:r>
          </w:p>
        </w:tc>
        <w:tc>
          <w:tcPr>
            <w:tcW w:w="3006" w:type="dxa"/>
          </w:tcPr>
          <w:p w14:paraId="6C2433E3" w14:textId="5AB05590" w:rsidR="002E0835" w:rsidRDefault="002E0835">
            <w:pPr>
              <w:rPr>
                <w:rFonts w:ascii="Calibri" w:hAnsi="Calibri" w:cs="Calibri"/>
                <w:b/>
                <w:bCs/>
                <w:sz w:val="24"/>
                <w:szCs w:val="24"/>
              </w:rPr>
            </w:pPr>
            <w:r>
              <w:rPr>
                <w:rFonts w:ascii="Calibri" w:hAnsi="Calibri" w:cs="Calibri"/>
                <w:b/>
                <w:bCs/>
                <w:sz w:val="24"/>
                <w:szCs w:val="24"/>
              </w:rPr>
              <w:t>NON-RESIDENT CHARGES</w:t>
            </w:r>
          </w:p>
        </w:tc>
      </w:tr>
      <w:tr w:rsidR="002E0835" w14:paraId="0AA3BDBD" w14:textId="77777777" w:rsidTr="002E0835">
        <w:tc>
          <w:tcPr>
            <w:tcW w:w="3005" w:type="dxa"/>
          </w:tcPr>
          <w:p w14:paraId="358E0915" w14:textId="77777777" w:rsidR="002E0835" w:rsidRDefault="002E0835">
            <w:pPr>
              <w:rPr>
                <w:rFonts w:ascii="Calibri" w:hAnsi="Calibri" w:cs="Calibri"/>
                <w:b/>
                <w:bCs/>
                <w:sz w:val="24"/>
                <w:szCs w:val="24"/>
              </w:rPr>
            </w:pPr>
            <w:r>
              <w:rPr>
                <w:rFonts w:ascii="Calibri" w:hAnsi="Calibri" w:cs="Calibri"/>
                <w:b/>
                <w:bCs/>
                <w:sz w:val="24"/>
                <w:szCs w:val="24"/>
              </w:rPr>
              <w:t>CREMATION FEES</w:t>
            </w:r>
          </w:p>
          <w:p w14:paraId="22482F14" w14:textId="0676E9EC" w:rsidR="00083BBF" w:rsidRDefault="00083BBF">
            <w:pPr>
              <w:rPr>
                <w:rFonts w:ascii="Calibri" w:hAnsi="Calibri" w:cs="Calibri"/>
                <w:b/>
                <w:bCs/>
                <w:sz w:val="24"/>
                <w:szCs w:val="24"/>
              </w:rPr>
            </w:pPr>
          </w:p>
        </w:tc>
        <w:tc>
          <w:tcPr>
            <w:tcW w:w="3005" w:type="dxa"/>
          </w:tcPr>
          <w:p w14:paraId="4642D45A" w14:textId="77777777" w:rsidR="002E0835" w:rsidRDefault="002E0835">
            <w:pPr>
              <w:rPr>
                <w:rFonts w:ascii="Calibri" w:hAnsi="Calibri" w:cs="Calibri"/>
                <w:b/>
                <w:bCs/>
                <w:sz w:val="24"/>
                <w:szCs w:val="24"/>
              </w:rPr>
            </w:pPr>
          </w:p>
        </w:tc>
        <w:tc>
          <w:tcPr>
            <w:tcW w:w="3006" w:type="dxa"/>
          </w:tcPr>
          <w:p w14:paraId="0CD9627B" w14:textId="77777777" w:rsidR="002E0835" w:rsidRDefault="002E0835">
            <w:pPr>
              <w:rPr>
                <w:rFonts w:ascii="Calibri" w:hAnsi="Calibri" w:cs="Calibri"/>
                <w:b/>
                <w:bCs/>
                <w:sz w:val="24"/>
                <w:szCs w:val="24"/>
              </w:rPr>
            </w:pPr>
          </w:p>
        </w:tc>
      </w:tr>
      <w:tr w:rsidR="002E0835" w14:paraId="2D8715EC" w14:textId="77777777" w:rsidTr="002E0835">
        <w:tc>
          <w:tcPr>
            <w:tcW w:w="3005" w:type="dxa"/>
          </w:tcPr>
          <w:p w14:paraId="46B29FDA" w14:textId="7B5323A4" w:rsidR="002E0835" w:rsidRPr="00CC1F04" w:rsidRDefault="00CC1F04">
            <w:pPr>
              <w:rPr>
                <w:rFonts w:ascii="Calibri" w:hAnsi="Calibri" w:cs="Calibri"/>
                <w:sz w:val="24"/>
                <w:szCs w:val="24"/>
              </w:rPr>
            </w:pPr>
            <w:r w:rsidRPr="00CC1F04">
              <w:rPr>
                <w:rFonts w:ascii="Calibri" w:hAnsi="Calibri" w:cs="Calibri"/>
                <w:sz w:val="24"/>
                <w:szCs w:val="24"/>
              </w:rPr>
              <w:t xml:space="preserve">Ashes Exclusive Rights </w:t>
            </w:r>
          </w:p>
        </w:tc>
        <w:tc>
          <w:tcPr>
            <w:tcW w:w="3005" w:type="dxa"/>
          </w:tcPr>
          <w:p w14:paraId="4DAB3DC5" w14:textId="40097F0B" w:rsidR="002E0835" w:rsidRPr="00CC1F04" w:rsidRDefault="00CC1F04">
            <w:pPr>
              <w:rPr>
                <w:rFonts w:ascii="Calibri" w:hAnsi="Calibri" w:cs="Calibri"/>
                <w:sz w:val="24"/>
                <w:szCs w:val="24"/>
              </w:rPr>
            </w:pPr>
            <w:r>
              <w:rPr>
                <w:rFonts w:ascii="Calibri" w:hAnsi="Calibri" w:cs="Calibri"/>
                <w:sz w:val="24"/>
                <w:szCs w:val="24"/>
              </w:rPr>
              <w:t>£</w:t>
            </w:r>
            <w:r w:rsidRPr="00CC1F04">
              <w:rPr>
                <w:rFonts w:ascii="Calibri" w:hAnsi="Calibri" w:cs="Calibri"/>
                <w:sz w:val="24"/>
                <w:szCs w:val="24"/>
              </w:rPr>
              <w:t>198.00</w:t>
            </w:r>
          </w:p>
        </w:tc>
        <w:tc>
          <w:tcPr>
            <w:tcW w:w="3006" w:type="dxa"/>
          </w:tcPr>
          <w:p w14:paraId="3D6D84A9" w14:textId="7C860688" w:rsidR="002E0835" w:rsidRPr="00CC1F04" w:rsidRDefault="00CC1F04">
            <w:pPr>
              <w:rPr>
                <w:rFonts w:ascii="Calibri" w:hAnsi="Calibri" w:cs="Calibri"/>
                <w:sz w:val="24"/>
                <w:szCs w:val="24"/>
              </w:rPr>
            </w:pPr>
            <w:r>
              <w:rPr>
                <w:rFonts w:ascii="Calibri" w:hAnsi="Calibri" w:cs="Calibri"/>
                <w:sz w:val="24"/>
                <w:szCs w:val="24"/>
              </w:rPr>
              <w:t>£5</w:t>
            </w:r>
            <w:r w:rsidR="006F4200">
              <w:rPr>
                <w:rFonts w:ascii="Calibri" w:hAnsi="Calibri" w:cs="Calibri"/>
                <w:sz w:val="24"/>
                <w:szCs w:val="24"/>
              </w:rPr>
              <w:t>94</w:t>
            </w:r>
            <w:r>
              <w:rPr>
                <w:rFonts w:ascii="Calibri" w:hAnsi="Calibri" w:cs="Calibri"/>
                <w:sz w:val="24"/>
                <w:szCs w:val="24"/>
              </w:rPr>
              <w:t>.00</w:t>
            </w:r>
          </w:p>
        </w:tc>
      </w:tr>
      <w:tr w:rsidR="002E0835" w14:paraId="26A68BF7" w14:textId="77777777" w:rsidTr="002E0835">
        <w:tc>
          <w:tcPr>
            <w:tcW w:w="3005" w:type="dxa"/>
          </w:tcPr>
          <w:p w14:paraId="3260C000" w14:textId="493DADA4" w:rsidR="002E0835" w:rsidRPr="00CC1F04" w:rsidRDefault="00CC1F04">
            <w:pPr>
              <w:rPr>
                <w:rFonts w:ascii="Calibri" w:hAnsi="Calibri" w:cs="Calibri"/>
                <w:sz w:val="24"/>
                <w:szCs w:val="24"/>
              </w:rPr>
            </w:pPr>
            <w:r>
              <w:rPr>
                <w:rFonts w:ascii="Calibri" w:hAnsi="Calibri" w:cs="Calibri"/>
                <w:sz w:val="24"/>
                <w:szCs w:val="24"/>
              </w:rPr>
              <w:t>Ashes Interment – Still born or child under 12 years</w:t>
            </w:r>
          </w:p>
        </w:tc>
        <w:tc>
          <w:tcPr>
            <w:tcW w:w="3005" w:type="dxa"/>
          </w:tcPr>
          <w:p w14:paraId="44B27B7E" w14:textId="50E3ABAB" w:rsidR="002E0835" w:rsidRPr="00CC1F04" w:rsidRDefault="00CC1F04">
            <w:pPr>
              <w:rPr>
                <w:rFonts w:ascii="Calibri" w:hAnsi="Calibri" w:cs="Calibri"/>
                <w:sz w:val="24"/>
                <w:szCs w:val="24"/>
              </w:rPr>
            </w:pPr>
            <w:r>
              <w:rPr>
                <w:rFonts w:ascii="Calibri" w:hAnsi="Calibri" w:cs="Calibri"/>
                <w:sz w:val="24"/>
                <w:szCs w:val="24"/>
              </w:rPr>
              <w:t>Free</w:t>
            </w:r>
          </w:p>
        </w:tc>
        <w:tc>
          <w:tcPr>
            <w:tcW w:w="3006" w:type="dxa"/>
          </w:tcPr>
          <w:p w14:paraId="0E387328" w14:textId="6D18507C" w:rsidR="002E0835" w:rsidRPr="00CC1F04" w:rsidRDefault="00083BBF">
            <w:pPr>
              <w:rPr>
                <w:rFonts w:ascii="Calibri" w:hAnsi="Calibri" w:cs="Calibri"/>
                <w:sz w:val="24"/>
                <w:szCs w:val="24"/>
              </w:rPr>
            </w:pPr>
            <w:r>
              <w:rPr>
                <w:rFonts w:ascii="Calibri" w:hAnsi="Calibri" w:cs="Calibri"/>
                <w:sz w:val="24"/>
                <w:szCs w:val="24"/>
              </w:rPr>
              <w:t>Free</w:t>
            </w:r>
          </w:p>
        </w:tc>
      </w:tr>
      <w:tr w:rsidR="002E0835" w14:paraId="0721BFB1" w14:textId="77777777" w:rsidTr="002E0835">
        <w:tc>
          <w:tcPr>
            <w:tcW w:w="3005" w:type="dxa"/>
          </w:tcPr>
          <w:p w14:paraId="5E5452AD" w14:textId="1D90A115" w:rsidR="002E0835" w:rsidRPr="00CC1F04" w:rsidRDefault="00CC1F04">
            <w:pPr>
              <w:rPr>
                <w:rFonts w:ascii="Calibri" w:hAnsi="Calibri" w:cs="Calibri"/>
                <w:sz w:val="24"/>
                <w:szCs w:val="24"/>
              </w:rPr>
            </w:pPr>
            <w:r>
              <w:rPr>
                <w:rFonts w:ascii="Calibri" w:hAnsi="Calibri" w:cs="Calibri"/>
                <w:sz w:val="24"/>
                <w:szCs w:val="24"/>
              </w:rPr>
              <w:t>Ashes Interment 12 years +</w:t>
            </w:r>
          </w:p>
        </w:tc>
        <w:tc>
          <w:tcPr>
            <w:tcW w:w="3005" w:type="dxa"/>
          </w:tcPr>
          <w:p w14:paraId="63F4AFC8" w14:textId="427490FA" w:rsidR="002E0835" w:rsidRPr="00CC1F04" w:rsidRDefault="00CC1F04">
            <w:pPr>
              <w:rPr>
                <w:rFonts w:ascii="Calibri" w:hAnsi="Calibri" w:cs="Calibri"/>
                <w:sz w:val="24"/>
                <w:szCs w:val="24"/>
              </w:rPr>
            </w:pPr>
            <w:r>
              <w:rPr>
                <w:rFonts w:ascii="Calibri" w:hAnsi="Calibri" w:cs="Calibri"/>
                <w:sz w:val="24"/>
                <w:szCs w:val="24"/>
              </w:rPr>
              <w:t>£137.50</w:t>
            </w:r>
          </w:p>
        </w:tc>
        <w:tc>
          <w:tcPr>
            <w:tcW w:w="3006" w:type="dxa"/>
          </w:tcPr>
          <w:p w14:paraId="3D086BF1" w14:textId="3A38A2F4" w:rsidR="002E0835" w:rsidRPr="00CC1F04" w:rsidRDefault="006F4200">
            <w:pPr>
              <w:rPr>
                <w:rFonts w:ascii="Calibri" w:hAnsi="Calibri" w:cs="Calibri"/>
                <w:sz w:val="24"/>
                <w:szCs w:val="24"/>
              </w:rPr>
            </w:pPr>
            <w:r>
              <w:rPr>
                <w:rFonts w:ascii="Calibri" w:hAnsi="Calibri" w:cs="Calibri"/>
                <w:sz w:val="24"/>
                <w:szCs w:val="24"/>
              </w:rPr>
              <w:t>£412.50</w:t>
            </w:r>
          </w:p>
        </w:tc>
      </w:tr>
      <w:tr w:rsidR="00CC1F04" w14:paraId="7A5E96A6" w14:textId="77777777" w:rsidTr="002E0835">
        <w:tc>
          <w:tcPr>
            <w:tcW w:w="3005" w:type="dxa"/>
          </w:tcPr>
          <w:p w14:paraId="64659926" w14:textId="1B93AED5" w:rsidR="00CC1F04" w:rsidRDefault="00CC1F04">
            <w:pPr>
              <w:rPr>
                <w:rFonts w:ascii="Calibri" w:hAnsi="Calibri" w:cs="Calibri"/>
                <w:sz w:val="24"/>
                <w:szCs w:val="24"/>
              </w:rPr>
            </w:pPr>
            <w:r>
              <w:rPr>
                <w:rFonts w:ascii="Calibri" w:hAnsi="Calibri" w:cs="Calibri"/>
                <w:sz w:val="24"/>
                <w:szCs w:val="24"/>
              </w:rPr>
              <w:t>Scattering of Ashes</w:t>
            </w:r>
          </w:p>
        </w:tc>
        <w:tc>
          <w:tcPr>
            <w:tcW w:w="3005" w:type="dxa"/>
          </w:tcPr>
          <w:p w14:paraId="28B12EE2" w14:textId="49E25C8E" w:rsidR="00CC1F04" w:rsidRDefault="00CC1F04">
            <w:pPr>
              <w:rPr>
                <w:rFonts w:ascii="Calibri" w:hAnsi="Calibri" w:cs="Calibri"/>
                <w:sz w:val="24"/>
                <w:szCs w:val="24"/>
              </w:rPr>
            </w:pPr>
            <w:r>
              <w:rPr>
                <w:rFonts w:ascii="Calibri" w:hAnsi="Calibri" w:cs="Calibri"/>
                <w:sz w:val="24"/>
                <w:szCs w:val="24"/>
              </w:rPr>
              <w:t>£99.00</w:t>
            </w:r>
          </w:p>
        </w:tc>
        <w:tc>
          <w:tcPr>
            <w:tcW w:w="3006" w:type="dxa"/>
          </w:tcPr>
          <w:p w14:paraId="3060530B" w14:textId="31BDB30C" w:rsidR="00CC1F04" w:rsidRPr="00CC1F04" w:rsidRDefault="006F4200">
            <w:pPr>
              <w:rPr>
                <w:rFonts w:ascii="Calibri" w:hAnsi="Calibri" w:cs="Calibri"/>
                <w:sz w:val="24"/>
                <w:szCs w:val="24"/>
              </w:rPr>
            </w:pPr>
            <w:r>
              <w:rPr>
                <w:rFonts w:ascii="Calibri" w:hAnsi="Calibri" w:cs="Calibri"/>
                <w:sz w:val="24"/>
                <w:szCs w:val="24"/>
              </w:rPr>
              <w:t>£297.00</w:t>
            </w:r>
          </w:p>
        </w:tc>
      </w:tr>
      <w:tr w:rsidR="00CC1F04" w14:paraId="4F999323" w14:textId="77777777" w:rsidTr="002E0835">
        <w:tc>
          <w:tcPr>
            <w:tcW w:w="3005" w:type="dxa"/>
          </w:tcPr>
          <w:p w14:paraId="3114DF81" w14:textId="4A682735" w:rsidR="00CC1F04" w:rsidRDefault="00CC1F04">
            <w:pPr>
              <w:rPr>
                <w:rFonts w:ascii="Calibri" w:hAnsi="Calibri" w:cs="Calibri"/>
                <w:sz w:val="24"/>
                <w:szCs w:val="24"/>
              </w:rPr>
            </w:pPr>
            <w:r>
              <w:rPr>
                <w:rFonts w:ascii="Calibri" w:hAnsi="Calibri" w:cs="Calibri"/>
                <w:sz w:val="24"/>
                <w:szCs w:val="24"/>
              </w:rPr>
              <w:t xml:space="preserve">Ashes Memorial </w:t>
            </w:r>
            <w:r w:rsidR="00083BBF">
              <w:rPr>
                <w:rFonts w:ascii="Calibri" w:hAnsi="Calibri" w:cs="Calibri"/>
                <w:sz w:val="24"/>
                <w:szCs w:val="24"/>
              </w:rPr>
              <w:t xml:space="preserve">Plaque </w:t>
            </w:r>
            <w:r w:rsidR="00225B3C">
              <w:rPr>
                <w:rFonts w:ascii="Calibri" w:hAnsi="Calibri" w:cs="Calibri"/>
                <w:sz w:val="24"/>
                <w:szCs w:val="24"/>
              </w:rPr>
              <w:t xml:space="preserve">/ headstone </w:t>
            </w:r>
            <w:r>
              <w:rPr>
                <w:rFonts w:ascii="Calibri" w:hAnsi="Calibri" w:cs="Calibri"/>
                <w:sz w:val="24"/>
                <w:szCs w:val="24"/>
              </w:rPr>
              <w:t>Permission</w:t>
            </w:r>
          </w:p>
        </w:tc>
        <w:tc>
          <w:tcPr>
            <w:tcW w:w="3005" w:type="dxa"/>
          </w:tcPr>
          <w:p w14:paraId="08CF2F02" w14:textId="5A808065" w:rsidR="00CC1F04" w:rsidRDefault="00CC1F04">
            <w:pPr>
              <w:rPr>
                <w:rFonts w:ascii="Calibri" w:hAnsi="Calibri" w:cs="Calibri"/>
                <w:sz w:val="24"/>
                <w:szCs w:val="24"/>
              </w:rPr>
            </w:pPr>
            <w:r>
              <w:rPr>
                <w:rFonts w:ascii="Calibri" w:hAnsi="Calibri" w:cs="Calibri"/>
                <w:sz w:val="24"/>
                <w:szCs w:val="24"/>
              </w:rPr>
              <w:t>£198.00</w:t>
            </w:r>
          </w:p>
        </w:tc>
        <w:tc>
          <w:tcPr>
            <w:tcW w:w="3006" w:type="dxa"/>
          </w:tcPr>
          <w:p w14:paraId="0F4B1CB9" w14:textId="70FE77B4" w:rsidR="00CC1F04" w:rsidRPr="00CC1F04" w:rsidRDefault="006F4200">
            <w:pPr>
              <w:rPr>
                <w:rFonts w:ascii="Calibri" w:hAnsi="Calibri" w:cs="Calibri"/>
                <w:sz w:val="24"/>
                <w:szCs w:val="24"/>
              </w:rPr>
            </w:pPr>
            <w:r>
              <w:rPr>
                <w:rFonts w:ascii="Calibri" w:hAnsi="Calibri" w:cs="Calibri"/>
                <w:sz w:val="24"/>
                <w:szCs w:val="24"/>
              </w:rPr>
              <w:t>£594.00</w:t>
            </w:r>
          </w:p>
        </w:tc>
      </w:tr>
      <w:tr w:rsidR="00CC1F04" w14:paraId="229ED246" w14:textId="77777777" w:rsidTr="002E0835">
        <w:tc>
          <w:tcPr>
            <w:tcW w:w="3005" w:type="dxa"/>
          </w:tcPr>
          <w:p w14:paraId="10B6553F" w14:textId="2C6B64C5" w:rsidR="00CC1F04" w:rsidRDefault="00CC1F04">
            <w:pPr>
              <w:rPr>
                <w:rFonts w:ascii="Calibri" w:hAnsi="Calibri" w:cs="Calibri"/>
                <w:sz w:val="24"/>
                <w:szCs w:val="24"/>
              </w:rPr>
            </w:pPr>
            <w:r>
              <w:rPr>
                <w:rFonts w:ascii="Calibri" w:hAnsi="Calibri" w:cs="Calibri"/>
                <w:sz w:val="24"/>
                <w:szCs w:val="24"/>
              </w:rPr>
              <w:t>Second Inscription</w:t>
            </w:r>
          </w:p>
        </w:tc>
        <w:tc>
          <w:tcPr>
            <w:tcW w:w="3005" w:type="dxa"/>
          </w:tcPr>
          <w:p w14:paraId="3DF10BF5" w14:textId="1FE97914" w:rsidR="00CC1F04" w:rsidRDefault="00CC1F04">
            <w:pPr>
              <w:rPr>
                <w:rFonts w:ascii="Calibri" w:hAnsi="Calibri" w:cs="Calibri"/>
                <w:sz w:val="24"/>
                <w:szCs w:val="24"/>
              </w:rPr>
            </w:pPr>
            <w:r>
              <w:rPr>
                <w:rFonts w:ascii="Calibri" w:hAnsi="Calibri" w:cs="Calibri"/>
                <w:sz w:val="24"/>
                <w:szCs w:val="24"/>
              </w:rPr>
              <w:t>£44.00</w:t>
            </w:r>
          </w:p>
        </w:tc>
        <w:tc>
          <w:tcPr>
            <w:tcW w:w="3006" w:type="dxa"/>
          </w:tcPr>
          <w:p w14:paraId="63648713" w14:textId="7AF606E3" w:rsidR="00CC1F04" w:rsidRPr="00CC1F04" w:rsidRDefault="006F4200">
            <w:pPr>
              <w:rPr>
                <w:rFonts w:ascii="Calibri" w:hAnsi="Calibri" w:cs="Calibri"/>
                <w:sz w:val="24"/>
                <w:szCs w:val="24"/>
              </w:rPr>
            </w:pPr>
            <w:r>
              <w:rPr>
                <w:rFonts w:ascii="Calibri" w:hAnsi="Calibri" w:cs="Calibri"/>
                <w:sz w:val="24"/>
                <w:szCs w:val="24"/>
              </w:rPr>
              <w:t>£132.00</w:t>
            </w:r>
          </w:p>
        </w:tc>
      </w:tr>
      <w:tr w:rsidR="00CC1F04" w14:paraId="3735E0BF" w14:textId="77777777" w:rsidTr="002E0835">
        <w:tc>
          <w:tcPr>
            <w:tcW w:w="3005" w:type="dxa"/>
          </w:tcPr>
          <w:p w14:paraId="5F8C6F40" w14:textId="6D0DAD8F" w:rsidR="00CC1F04" w:rsidRDefault="00CC1F04">
            <w:pPr>
              <w:rPr>
                <w:rFonts w:ascii="Calibri" w:hAnsi="Calibri" w:cs="Calibri"/>
                <w:sz w:val="24"/>
                <w:szCs w:val="24"/>
              </w:rPr>
            </w:pPr>
            <w:r>
              <w:rPr>
                <w:rFonts w:ascii="Calibri" w:hAnsi="Calibri" w:cs="Calibri"/>
                <w:sz w:val="24"/>
                <w:szCs w:val="24"/>
              </w:rPr>
              <w:t xml:space="preserve">Double Ashes Plot </w:t>
            </w:r>
            <w:r w:rsidR="00083BBF">
              <w:rPr>
                <w:rFonts w:ascii="Calibri" w:hAnsi="Calibri" w:cs="Calibri"/>
                <w:sz w:val="24"/>
                <w:szCs w:val="24"/>
              </w:rPr>
              <w:t xml:space="preserve"> </w:t>
            </w:r>
            <w:r>
              <w:rPr>
                <w:rFonts w:ascii="Calibri" w:hAnsi="Calibri" w:cs="Calibri"/>
                <w:sz w:val="24"/>
                <w:szCs w:val="24"/>
              </w:rPr>
              <w:t xml:space="preserve">Memorial </w:t>
            </w:r>
            <w:r w:rsidR="00083BBF">
              <w:rPr>
                <w:rFonts w:ascii="Calibri" w:hAnsi="Calibri" w:cs="Calibri"/>
                <w:sz w:val="24"/>
                <w:szCs w:val="24"/>
              </w:rPr>
              <w:t xml:space="preserve">Plaque </w:t>
            </w:r>
            <w:r w:rsidR="00225B3C">
              <w:rPr>
                <w:rFonts w:ascii="Calibri" w:hAnsi="Calibri" w:cs="Calibri"/>
                <w:sz w:val="24"/>
                <w:szCs w:val="24"/>
              </w:rPr>
              <w:t xml:space="preserve">/ headstone </w:t>
            </w:r>
            <w:r>
              <w:rPr>
                <w:rFonts w:ascii="Calibri" w:hAnsi="Calibri" w:cs="Calibri"/>
                <w:sz w:val="24"/>
                <w:szCs w:val="24"/>
              </w:rPr>
              <w:t>Permission</w:t>
            </w:r>
          </w:p>
        </w:tc>
        <w:tc>
          <w:tcPr>
            <w:tcW w:w="3005" w:type="dxa"/>
          </w:tcPr>
          <w:p w14:paraId="2994E1B0" w14:textId="736FAAF4" w:rsidR="00CC1F04" w:rsidRDefault="00CC1F04">
            <w:pPr>
              <w:rPr>
                <w:rFonts w:ascii="Calibri" w:hAnsi="Calibri" w:cs="Calibri"/>
                <w:sz w:val="24"/>
                <w:szCs w:val="24"/>
              </w:rPr>
            </w:pPr>
            <w:r>
              <w:rPr>
                <w:rFonts w:ascii="Calibri" w:hAnsi="Calibri" w:cs="Calibri"/>
                <w:sz w:val="24"/>
                <w:szCs w:val="24"/>
              </w:rPr>
              <w:t>£396.00</w:t>
            </w:r>
          </w:p>
        </w:tc>
        <w:tc>
          <w:tcPr>
            <w:tcW w:w="3006" w:type="dxa"/>
          </w:tcPr>
          <w:p w14:paraId="4FA2E4F1" w14:textId="607412BE" w:rsidR="00CC1F04" w:rsidRPr="00CC1F04" w:rsidRDefault="006F4200">
            <w:pPr>
              <w:rPr>
                <w:rFonts w:ascii="Calibri" w:hAnsi="Calibri" w:cs="Calibri"/>
                <w:sz w:val="24"/>
                <w:szCs w:val="24"/>
              </w:rPr>
            </w:pPr>
            <w:r>
              <w:rPr>
                <w:rFonts w:ascii="Calibri" w:hAnsi="Calibri" w:cs="Calibri"/>
                <w:sz w:val="24"/>
                <w:szCs w:val="24"/>
              </w:rPr>
              <w:t>£1,188.00</w:t>
            </w:r>
          </w:p>
        </w:tc>
      </w:tr>
      <w:tr w:rsidR="00CC1F04" w14:paraId="1213632D" w14:textId="77777777" w:rsidTr="002E0835">
        <w:tc>
          <w:tcPr>
            <w:tcW w:w="3005" w:type="dxa"/>
          </w:tcPr>
          <w:p w14:paraId="38BED710" w14:textId="77777777" w:rsidR="00CC1F04" w:rsidRDefault="00CC1F04">
            <w:pPr>
              <w:rPr>
                <w:rFonts w:ascii="Calibri" w:hAnsi="Calibri" w:cs="Calibri"/>
                <w:b/>
                <w:bCs/>
                <w:sz w:val="24"/>
                <w:szCs w:val="24"/>
              </w:rPr>
            </w:pPr>
            <w:r>
              <w:rPr>
                <w:rFonts w:ascii="Calibri" w:hAnsi="Calibri" w:cs="Calibri"/>
                <w:b/>
                <w:bCs/>
                <w:sz w:val="24"/>
                <w:szCs w:val="24"/>
              </w:rPr>
              <w:t>BURIALS</w:t>
            </w:r>
          </w:p>
          <w:p w14:paraId="06F5E4EE" w14:textId="5173C135" w:rsidR="00083BBF" w:rsidRPr="00CC1F04" w:rsidRDefault="00083BBF">
            <w:pPr>
              <w:rPr>
                <w:rFonts w:ascii="Calibri" w:hAnsi="Calibri" w:cs="Calibri"/>
                <w:sz w:val="24"/>
                <w:szCs w:val="24"/>
              </w:rPr>
            </w:pPr>
          </w:p>
        </w:tc>
        <w:tc>
          <w:tcPr>
            <w:tcW w:w="3005" w:type="dxa"/>
          </w:tcPr>
          <w:p w14:paraId="225C3576" w14:textId="77777777" w:rsidR="00CC1F04" w:rsidRDefault="00CC1F04">
            <w:pPr>
              <w:rPr>
                <w:rFonts w:ascii="Calibri" w:hAnsi="Calibri" w:cs="Calibri"/>
                <w:sz w:val="24"/>
                <w:szCs w:val="24"/>
              </w:rPr>
            </w:pPr>
          </w:p>
        </w:tc>
        <w:tc>
          <w:tcPr>
            <w:tcW w:w="3006" w:type="dxa"/>
          </w:tcPr>
          <w:p w14:paraId="467BAFC8" w14:textId="77777777" w:rsidR="00CC1F04" w:rsidRPr="00CC1F04" w:rsidRDefault="00CC1F04">
            <w:pPr>
              <w:rPr>
                <w:rFonts w:ascii="Calibri" w:hAnsi="Calibri" w:cs="Calibri"/>
                <w:sz w:val="24"/>
                <w:szCs w:val="24"/>
              </w:rPr>
            </w:pPr>
          </w:p>
        </w:tc>
      </w:tr>
      <w:tr w:rsidR="00CC1F04" w14:paraId="4E2E0829" w14:textId="77777777" w:rsidTr="002E0835">
        <w:tc>
          <w:tcPr>
            <w:tcW w:w="3005" w:type="dxa"/>
          </w:tcPr>
          <w:p w14:paraId="43F26305" w14:textId="3DABB2D7" w:rsidR="00CC1F04" w:rsidRPr="00083BBF" w:rsidRDefault="00083BBF">
            <w:pPr>
              <w:rPr>
                <w:rFonts w:ascii="Calibri" w:hAnsi="Calibri" w:cs="Calibri"/>
                <w:sz w:val="24"/>
                <w:szCs w:val="24"/>
              </w:rPr>
            </w:pPr>
            <w:r w:rsidRPr="00083BBF">
              <w:rPr>
                <w:rFonts w:ascii="Calibri" w:hAnsi="Calibri" w:cs="Calibri"/>
                <w:sz w:val="24"/>
                <w:szCs w:val="24"/>
              </w:rPr>
              <w:t xml:space="preserve">Adult </w:t>
            </w:r>
            <w:r>
              <w:rPr>
                <w:rFonts w:ascii="Calibri" w:hAnsi="Calibri" w:cs="Calibri"/>
                <w:sz w:val="24"/>
                <w:szCs w:val="24"/>
              </w:rPr>
              <w:t>Exclusive Rights</w:t>
            </w:r>
          </w:p>
        </w:tc>
        <w:tc>
          <w:tcPr>
            <w:tcW w:w="3005" w:type="dxa"/>
          </w:tcPr>
          <w:p w14:paraId="44CD9C0B" w14:textId="26945EBD" w:rsidR="00CC1F04" w:rsidRDefault="00083BBF">
            <w:pPr>
              <w:rPr>
                <w:rFonts w:ascii="Calibri" w:hAnsi="Calibri" w:cs="Calibri"/>
                <w:sz w:val="24"/>
                <w:szCs w:val="24"/>
              </w:rPr>
            </w:pPr>
            <w:r>
              <w:rPr>
                <w:rFonts w:ascii="Calibri" w:hAnsi="Calibri" w:cs="Calibri"/>
                <w:sz w:val="24"/>
                <w:szCs w:val="24"/>
              </w:rPr>
              <w:t>£550.00</w:t>
            </w:r>
          </w:p>
        </w:tc>
        <w:tc>
          <w:tcPr>
            <w:tcW w:w="3006" w:type="dxa"/>
          </w:tcPr>
          <w:p w14:paraId="1EE83B0C" w14:textId="499D1FDC" w:rsidR="00083BBF" w:rsidRPr="00CC1F04" w:rsidRDefault="00083BBF">
            <w:pPr>
              <w:rPr>
                <w:rFonts w:ascii="Calibri" w:hAnsi="Calibri" w:cs="Calibri"/>
                <w:sz w:val="24"/>
                <w:szCs w:val="24"/>
              </w:rPr>
            </w:pPr>
            <w:r>
              <w:rPr>
                <w:rFonts w:ascii="Calibri" w:hAnsi="Calibri" w:cs="Calibri"/>
                <w:sz w:val="24"/>
                <w:szCs w:val="24"/>
              </w:rPr>
              <w:t>£1,760.00</w:t>
            </w:r>
          </w:p>
        </w:tc>
      </w:tr>
      <w:tr w:rsidR="00083BBF" w14:paraId="18D6E8E2" w14:textId="77777777" w:rsidTr="002E0835">
        <w:tc>
          <w:tcPr>
            <w:tcW w:w="3005" w:type="dxa"/>
          </w:tcPr>
          <w:p w14:paraId="4BCFBBA8" w14:textId="5EBD6BE4" w:rsidR="00083BBF" w:rsidRPr="00083BBF" w:rsidRDefault="00083BBF">
            <w:pPr>
              <w:rPr>
                <w:rFonts w:ascii="Calibri" w:hAnsi="Calibri" w:cs="Calibri"/>
                <w:sz w:val="24"/>
                <w:szCs w:val="24"/>
              </w:rPr>
            </w:pPr>
            <w:r>
              <w:rPr>
                <w:rFonts w:ascii="Calibri" w:hAnsi="Calibri" w:cs="Calibri"/>
                <w:sz w:val="24"/>
                <w:szCs w:val="24"/>
              </w:rPr>
              <w:t>Child Exclusive Rights</w:t>
            </w:r>
          </w:p>
        </w:tc>
        <w:tc>
          <w:tcPr>
            <w:tcW w:w="3005" w:type="dxa"/>
          </w:tcPr>
          <w:p w14:paraId="7B5EFF16" w14:textId="2AB92B67" w:rsidR="00083BBF" w:rsidRDefault="00083BBF">
            <w:pPr>
              <w:rPr>
                <w:rFonts w:ascii="Calibri" w:hAnsi="Calibri" w:cs="Calibri"/>
                <w:sz w:val="24"/>
                <w:szCs w:val="24"/>
              </w:rPr>
            </w:pPr>
            <w:r>
              <w:rPr>
                <w:rFonts w:ascii="Calibri" w:hAnsi="Calibri" w:cs="Calibri"/>
                <w:sz w:val="24"/>
                <w:szCs w:val="24"/>
              </w:rPr>
              <w:t>£275.00</w:t>
            </w:r>
          </w:p>
        </w:tc>
        <w:tc>
          <w:tcPr>
            <w:tcW w:w="3006" w:type="dxa"/>
          </w:tcPr>
          <w:p w14:paraId="066CD93F" w14:textId="772C5325" w:rsidR="00083BBF" w:rsidRPr="00CC1F04" w:rsidRDefault="006F4200">
            <w:pPr>
              <w:rPr>
                <w:rFonts w:ascii="Calibri" w:hAnsi="Calibri" w:cs="Calibri"/>
                <w:sz w:val="24"/>
                <w:szCs w:val="24"/>
              </w:rPr>
            </w:pPr>
            <w:r>
              <w:rPr>
                <w:rFonts w:ascii="Calibri" w:hAnsi="Calibri" w:cs="Calibri"/>
                <w:sz w:val="24"/>
                <w:szCs w:val="24"/>
              </w:rPr>
              <w:t>£825.00</w:t>
            </w:r>
          </w:p>
        </w:tc>
      </w:tr>
      <w:tr w:rsidR="00083BBF" w14:paraId="3B6CBDF9" w14:textId="77777777" w:rsidTr="002E0835">
        <w:tc>
          <w:tcPr>
            <w:tcW w:w="3005" w:type="dxa"/>
          </w:tcPr>
          <w:p w14:paraId="1A4A244E" w14:textId="2B106238" w:rsidR="00083BBF" w:rsidRDefault="00083BBF">
            <w:pPr>
              <w:rPr>
                <w:rFonts w:ascii="Calibri" w:hAnsi="Calibri" w:cs="Calibri"/>
                <w:sz w:val="24"/>
                <w:szCs w:val="24"/>
              </w:rPr>
            </w:pPr>
            <w:r>
              <w:rPr>
                <w:rFonts w:ascii="Calibri" w:hAnsi="Calibri" w:cs="Calibri"/>
                <w:sz w:val="24"/>
                <w:szCs w:val="24"/>
              </w:rPr>
              <w:t>Interment – Still born or child under 12 years</w:t>
            </w:r>
          </w:p>
        </w:tc>
        <w:tc>
          <w:tcPr>
            <w:tcW w:w="3005" w:type="dxa"/>
          </w:tcPr>
          <w:p w14:paraId="295F71E5" w14:textId="2C80BFB4" w:rsidR="00083BBF" w:rsidRDefault="00083BBF">
            <w:pPr>
              <w:rPr>
                <w:rFonts w:ascii="Calibri" w:hAnsi="Calibri" w:cs="Calibri"/>
                <w:sz w:val="24"/>
                <w:szCs w:val="24"/>
              </w:rPr>
            </w:pPr>
            <w:r>
              <w:rPr>
                <w:rFonts w:ascii="Calibri" w:hAnsi="Calibri" w:cs="Calibri"/>
                <w:sz w:val="24"/>
                <w:szCs w:val="24"/>
              </w:rPr>
              <w:t>Free</w:t>
            </w:r>
          </w:p>
        </w:tc>
        <w:tc>
          <w:tcPr>
            <w:tcW w:w="3006" w:type="dxa"/>
          </w:tcPr>
          <w:p w14:paraId="4DA12DF4" w14:textId="463EE5AE" w:rsidR="00083BBF" w:rsidRPr="00CC1F04" w:rsidRDefault="006F4200">
            <w:pPr>
              <w:rPr>
                <w:rFonts w:ascii="Calibri" w:hAnsi="Calibri" w:cs="Calibri"/>
                <w:sz w:val="24"/>
                <w:szCs w:val="24"/>
              </w:rPr>
            </w:pPr>
            <w:r>
              <w:rPr>
                <w:rFonts w:ascii="Calibri" w:hAnsi="Calibri" w:cs="Calibri"/>
                <w:sz w:val="24"/>
                <w:szCs w:val="24"/>
              </w:rPr>
              <w:t>Free</w:t>
            </w:r>
          </w:p>
        </w:tc>
      </w:tr>
      <w:tr w:rsidR="00083BBF" w14:paraId="266BD290" w14:textId="77777777" w:rsidTr="002E0835">
        <w:tc>
          <w:tcPr>
            <w:tcW w:w="3005" w:type="dxa"/>
          </w:tcPr>
          <w:p w14:paraId="12CCEEDE" w14:textId="46C8EAEC" w:rsidR="00083BBF" w:rsidRDefault="00083BBF">
            <w:pPr>
              <w:rPr>
                <w:rFonts w:ascii="Calibri" w:hAnsi="Calibri" w:cs="Calibri"/>
                <w:sz w:val="24"/>
                <w:szCs w:val="24"/>
              </w:rPr>
            </w:pPr>
            <w:r>
              <w:rPr>
                <w:rFonts w:ascii="Calibri" w:hAnsi="Calibri" w:cs="Calibri"/>
                <w:sz w:val="24"/>
                <w:szCs w:val="24"/>
              </w:rPr>
              <w:t>Interment 12 years +</w:t>
            </w:r>
          </w:p>
        </w:tc>
        <w:tc>
          <w:tcPr>
            <w:tcW w:w="3005" w:type="dxa"/>
          </w:tcPr>
          <w:p w14:paraId="5AF469A1" w14:textId="6F82FAB6" w:rsidR="00083BBF" w:rsidRDefault="00083BBF">
            <w:pPr>
              <w:rPr>
                <w:rFonts w:ascii="Calibri" w:hAnsi="Calibri" w:cs="Calibri"/>
                <w:sz w:val="24"/>
                <w:szCs w:val="24"/>
              </w:rPr>
            </w:pPr>
            <w:r>
              <w:rPr>
                <w:rFonts w:ascii="Calibri" w:hAnsi="Calibri" w:cs="Calibri"/>
                <w:sz w:val="24"/>
                <w:szCs w:val="24"/>
              </w:rPr>
              <w:t>£198.00</w:t>
            </w:r>
          </w:p>
        </w:tc>
        <w:tc>
          <w:tcPr>
            <w:tcW w:w="3006" w:type="dxa"/>
          </w:tcPr>
          <w:p w14:paraId="6D851B0E" w14:textId="4E1E4968" w:rsidR="00083BBF" w:rsidRPr="00CC1F04" w:rsidRDefault="006F4200">
            <w:pPr>
              <w:rPr>
                <w:rFonts w:ascii="Calibri" w:hAnsi="Calibri" w:cs="Calibri"/>
                <w:sz w:val="24"/>
                <w:szCs w:val="24"/>
              </w:rPr>
            </w:pPr>
            <w:r>
              <w:rPr>
                <w:rFonts w:ascii="Calibri" w:hAnsi="Calibri" w:cs="Calibri"/>
                <w:sz w:val="24"/>
                <w:szCs w:val="24"/>
              </w:rPr>
              <w:t>£594.00</w:t>
            </w:r>
          </w:p>
        </w:tc>
      </w:tr>
      <w:tr w:rsidR="00083BBF" w14:paraId="5700A79B" w14:textId="77777777" w:rsidTr="002E0835">
        <w:tc>
          <w:tcPr>
            <w:tcW w:w="3005" w:type="dxa"/>
          </w:tcPr>
          <w:p w14:paraId="4653967E" w14:textId="101C8055" w:rsidR="00083BBF" w:rsidRDefault="00083BBF">
            <w:pPr>
              <w:rPr>
                <w:rFonts w:ascii="Calibri" w:hAnsi="Calibri" w:cs="Calibri"/>
                <w:sz w:val="24"/>
                <w:szCs w:val="24"/>
              </w:rPr>
            </w:pPr>
            <w:r>
              <w:rPr>
                <w:rFonts w:ascii="Calibri" w:hAnsi="Calibri" w:cs="Calibri"/>
                <w:sz w:val="24"/>
                <w:szCs w:val="24"/>
              </w:rPr>
              <w:t>Memorial Headstone Permission</w:t>
            </w:r>
          </w:p>
        </w:tc>
        <w:tc>
          <w:tcPr>
            <w:tcW w:w="3005" w:type="dxa"/>
          </w:tcPr>
          <w:p w14:paraId="0FC14D2C" w14:textId="01554D63" w:rsidR="00083BBF" w:rsidRDefault="00083BBF">
            <w:pPr>
              <w:rPr>
                <w:rFonts w:ascii="Calibri" w:hAnsi="Calibri" w:cs="Calibri"/>
                <w:sz w:val="24"/>
                <w:szCs w:val="24"/>
              </w:rPr>
            </w:pPr>
            <w:r>
              <w:rPr>
                <w:rFonts w:ascii="Calibri" w:hAnsi="Calibri" w:cs="Calibri"/>
                <w:sz w:val="24"/>
                <w:szCs w:val="24"/>
              </w:rPr>
              <w:t>£198.00</w:t>
            </w:r>
          </w:p>
        </w:tc>
        <w:tc>
          <w:tcPr>
            <w:tcW w:w="3006" w:type="dxa"/>
          </w:tcPr>
          <w:p w14:paraId="05BA4BF5" w14:textId="2545291B" w:rsidR="00083BBF" w:rsidRPr="00CC1F04" w:rsidRDefault="006F4200">
            <w:pPr>
              <w:rPr>
                <w:rFonts w:ascii="Calibri" w:hAnsi="Calibri" w:cs="Calibri"/>
                <w:sz w:val="24"/>
                <w:szCs w:val="24"/>
              </w:rPr>
            </w:pPr>
            <w:r>
              <w:rPr>
                <w:rFonts w:ascii="Calibri" w:hAnsi="Calibri" w:cs="Calibri"/>
                <w:sz w:val="24"/>
                <w:szCs w:val="24"/>
              </w:rPr>
              <w:t>£594.00</w:t>
            </w:r>
          </w:p>
        </w:tc>
      </w:tr>
      <w:tr w:rsidR="00225B3C" w14:paraId="159E4592" w14:textId="77777777" w:rsidTr="002E0835">
        <w:tc>
          <w:tcPr>
            <w:tcW w:w="3005" w:type="dxa"/>
          </w:tcPr>
          <w:p w14:paraId="18FE6C21" w14:textId="45EE7F36" w:rsidR="00225B3C" w:rsidRDefault="00225B3C">
            <w:pPr>
              <w:rPr>
                <w:rFonts w:ascii="Calibri" w:hAnsi="Calibri" w:cs="Calibri"/>
                <w:sz w:val="24"/>
                <w:szCs w:val="24"/>
              </w:rPr>
            </w:pPr>
            <w:r>
              <w:rPr>
                <w:rFonts w:ascii="Calibri" w:hAnsi="Calibri" w:cs="Calibri"/>
                <w:sz w:val="24"/>
                <w:szCs w:val="24"/>
              </w:rPr>
              <w:t>Grave Surround Permission</w:t>
            </w:r>
          </w:p>
        </w:tc>
        <w:tc>
          <w:tcPr>
            <w:tcW w:w="3005" w:type="dxa"/>
          </w:tcPr>
          <w:p w14:paraId="7386FC10" w14:textId="7C5807B6" w:rsidR="00225B3C" w:rsidRDefault="00225B3C">
            <w:pPr>
              <w:rPr>
                <w:rFonts w:ascii="Calibri" w:hAnsi="Calibri" w:cs="Calibri"/>
                <w:sz w:val="24"/>
                <w:szCs w:val="24"/>
              </w:rPr>
            </w:pPr>
            <w:r>
              <w:rPr>
                <w:rFonts w:ascii="Calibri" w:hAnsi="Calibri" w:cs="Calibri"/>
                <w:sz w:val="24"/>
                <w:szCs w:val="24"/>
              </w:rPr>
              <w:t>£682.00</w:t>
            </w:r>
          </w:p>
        </w:tc>
        <w:tc>
          <w:tcPr>
            <w:tcW w:w="3006" w:type="dxa"/>
          </w:tcPr>
          <w:p w14:paraId="1C80D5FE" w14:textId="0793BC58" w:rsidR="00225B3C" w:rsidRDefault="00225B3C">
            <w:pPr>
              <w:rPr>
                <w:rFonts w:ascii="Calibri" w:hAnsi="Calibri" w:cs="Calibri"/>
                <w:sz w:val="24"/>
                <w:szCs w:val="24"/>
              </w:rPr>
            </w:pPr>
            <w:r>
              <w:rPr>
                <w:rFonts w:ascii="Calibri" w:hAnsi="Calibri" w:cs="Calibri"/>
                <w:sz w:val="24"/>
                <w:szCs w:val="24"/>
              </w:rPr>
              <w:t>£682.00</w:t>
            </w:r>
          </w:p>
        </w:tc>
      </w:tr>
      <w:tr w:rsidR="00083BBF" w14:paraId="16EC46B4" w14:textId="77777777" w:rsidTr="002E0835">
        <w:tc>
          <w:tcPr>
            <w:tcW w:w="3005" w:type="dxa"/>
          </w:tcPr>
          <w:p w14:paraId="4ACBD8C7" w14:textId="1753B8BC" w:rsidR="00083BBF" w:rsidRDefault="00083BBF">
            <w:pPr>
              <w:rPr>
                <w:rFonts w:ascii="Calibri" w:hAnsi="Calibri" w:cs="Calibri"/>
                <w:sz w:val="24"/>
                <w:szCs w:val="24"/>
              </w:rPr>
            </w:pPr>
            <w:r>
              <w:rPr>
                <w:rFonts w:ascii="Calibri" w:hAnsi="Calibri" w:cs="Calibri"/>
                <w:sz w:val="24"/>
                <w:szCs w:val="24"/>
              </w:rPr>
              <w:t>Second Inscription</w:t>
            </w:r>
          </w:p>
        </w:tc>
        <w:tc>
          <w:tcPr>
            <w:tcW w:w="3005" w:type="dxa"/>
          </w:tcPr>
          <w:p w14:paraId="09482E53" w14:textId="1EAF4D7A" w:rsidR="00083BBF" w:rsidRDefault="00083BBF">
            <w:pPr>
              <w:rPr>
                <w:rFonts w:ascii="Calibri" w:hAnsi="Calibri" w:cs="Calibri"/>
                <w:sz w:val="24"/>
                <w:szCs w:val="24"/>
              </w:rPr>
            </w:pPr>
            <w:r>
              <w:rPr>
                <w:rFonts w:ascii="Calibri" w:hAnsi="Calibri" w:cs="Calibri"/>
                <w:sz w:val="24"/>
                <w:szCs w:val="24"/>
              </w:rPr>
              <w:t>£44.00</w:t>
            </w:r>
          </w:p>
        </w:tc>
        <w:tc>
          <w:tcPr>
            <w:tcW w:w="3006" w:type="dxa"/>
          </w:tcPr>
          <w:p w14:paraId="3125EC70" w14:textId="50B22FE3" w:rsidR="00083BBF" w:rsidRPr="00CC1F04" w:rsidRDefault="006F4200">
            <w:pPr>
              <w:rPr>
                <w:rFonts w:ascii="Calibri" w:hAnsi="Calibri" w:cs="Calibri"/>
                <w:sz w:val="24"/>
                <w:szCs w:val="24"/>
              </w:rPr>
            </w:pPr>
            <w:r>
              <w:rPr>
                <w:rFonts w:ascii="Calibri" w:hAnsi="Calibri" w:cs="Calibri"/>
                <w:sz w:val="24"/>
                <w:szCs w:val="24"/>
              </w:rPr>
              <w:t>£132.00</w:t>
            </w:r>
          </w:p>
        </w:tc>
      </w:tr>
      <w:tr w:rsidR="00083BBF" w14:paraId="77DB785A" w14:textId="77777777" w:rsidTr="002E0835">
        <w:tc>
          <w:tcPr>
            <w:tcW w:w="3005" w:type="dxa"/>
          </w:tcPr>
          <w:p w14:paraId="0F88FE56" w14:textId="2D2D5DC7" w:rsidR="00083BBF" w:rsidRDefault="00083BBF">
            <w:pPr>
              <w:rPr>
                <w:rFonts w:ascii="Calibri" w:hAnsi="Calibri" w:cs="Calibri"/>
                <w:sz w:val="24"/>
                <w:szCs w:val="24"/>
              </w:rPr>
            </w:pPr>
            <w:r>
              <w:rPr>
                <w:rFonts w:ascii="Calibri" w:hAnsi="Calibri" w:cs="Calibri"/>
                <w:sz w:val="24"/>
                <w:szCs w:val="24"/>
              </w:rPr>
              <w:t>Double Plot Memorial Headstone Permission</w:t>
            </w:r>
          </w:p>
        </w:tc>
        <w:tc>
          <w:tcPr>
            <w:tcW w:w="3005" w:type="dxa"/>
          </w:tcPr>
          <w:p w14:paraId="1591D3CE" w14:textId="0C72D201" w:rsidR="00083BBF" w:rsidRDefault="00083BBF">
            <w:pPr>
              <w:rPr>
                <w:rFonts w:ascii="Calibri" w:hAnsi="Calibri" w:cs="Calibri"/>
                <w:sz w:val="24"/>
                <w:szCs w:val="24"/>
              </w:rPr>
            </w:pPr>
            <w:r>
              <w:rPr>
                <w:rFonts w:ascii="Calibri" w:hAnsi="Calibri" w:cs="Calibri"/>
                <w:sz w:val="24"/>
                <w:szCs w:val="24"/>
              </w:rPr>
              <w:t>£396.00</w:t>
            </w:r>
          </w:p>
        </w:tc>
        <w:tc>
          <w:tcPr>
            <w:tcW w:w="3006" w:type="dxa"/>
          </w:tcPr>
          <w:p w14:paraId="16773FE9" w14:textId="5A53EB3B" w:rsidR="00083BBF" w:rsidRPr="00CC1F04" w:rsidRDefault="006F4200">
            <w:pPr>
              <w:rPr>
                <w:rFonts w:ascii="Calibri" w:hAnsi="Calibri" w:cs="Calibri"/>
                <w:sz w:val="24"/>
                <w:szCs w:val="24"/>
              </w:rPr>
            </w:pPr>
            <w:r>
              <w:rPr>
                <w:rFonts w:ascii="Calibri" w:hAnsi="Calibri" w:cs="Calibri"/>
                <w:sz w:val="24"/>
                <w:szCs w:val="24"/>
              </w:rPr>
              <w:t>£1,188.00</w:t>
            </w:r>
          </w:p>
        </w:tc>
      </w:tr>
      <w:tr w:rsidR="00225B3C" w14:paraId="09A46ED5" w14:textId="77777777" w:rsidTr="002E0835">
        <w:tc>
          <w:tcPr>
            <w:tcW w:w="3005" w:type="dxa"/>
          </w:tcPr>
          <w:p w14:paraId="10F028AF" w14:textId="36386911" w:rsidR="00225B3C" w:rsidRDefault="00225B3C">
            <w:pPr>
              <w:rPr>
                <w:rFonts w:ascii="Calibri" w:hAnsi="Calibri" w:cs="Calibri"/>
                <w:sz w:val="24"/>
                <w:szCs w:val="24"/>
              </w:rPr>
            </w:pPr>
            <w:r>
              <w:rPr>
                <w:rFonts w:ascii="Calibri" w:hAnsi="Calibri" w:cs="Calibri"/>
                <w:sz w:val="24"/>
                <w:szCs w:val="24"/>
              </w:rPr>
              <w:t>Double Grave Surround Permission</w:t>
            </w:r>
          </w:p>
        </w:tc>
        <w:tc>
          <w:tcPr>
            <w:tcW w:w="3005" w:type="dxa"/>
          </w:tcPr>
          <w:p w14:paraId="685573D9" w14:textId="31A31AF9" w:rsidR="00225B3C" w:rsidRDefault="00225B3C">
            <w:pPr>
              <w:rPr>
                <w:rFonts w:ascii="Calibri" w:hAnsi="Calibri" w:cs="Calibri"/>
                <w:sz w:val="24"/>
                <w:szCs w:val="24"/>
              </w:rPr>
            </w:pPr>
            <w:r>
              <w:rPr>
                <w:rFonts w:ascii="Calibri" w:hAnsi="Calibri" w:cs="Calibri"/>
                <w:sz w:val="24"/>
                <w:szCs w:val="24"/>
              </w:rPr>
              <w:t>£1,364.00</w:t>
            </w:r>
          </w:p>
        </w:tc>
        <w:tc>
          <w:tcPr>
            <w:tcW w:w="3006" w:type="dxa"/>
          </w:tcPr>
          <w:p w14:paraId="314A4777" w14:textId="2E11A513" w:rsidR="00225B3C" w:rsidRDefault="00225B3C">
            <w:pPr>
              <w:rPr>
                <w:rFonts w:ascii="Calibri" w:hAnsi="Calibri" w:cs="Calibri"/>
                <w:sz w:val="24"/>
                <w:szCs w:val="24"/>
              </w:rPr>
            </w:pPr>
            <w:r>
              <w:rPr>
                <w:rFonts w:ascii="Calibri" w:hAnsi="Calibri" w:cs="Calibri"/>
                <w:sz w:val="24"/>
                <w:szCs w:val="24"/>
              </w:rPr>
              <w:t>£1,364.00</w:t>
            </w:r>
          </w:p>
        </w:tc>
      </w:tr>
      <w:tr w:rsidR="00083BBF" w14:paraId="61D666C9" w14:textId="77777777" w:rsidTr="002E0835">
        <w:tc>
          <w:tcPr>
            <w:tcW w:w="3005" w:type="dxa"/>
          </w:tcPr>
          <w:p w14:paraId="2F5E7FE3" w14:textId="5D5EC0C7" w:rsidR="00083BBF" w:rsidRDefault="00083BBF">
            <w:pPr>
              <w:rPr>
                <w:rFonts w:ascii="Calibri" w:hAnsi="Calibri" w:cs="Calibri"/>
                <w:sz w:val="24"/>
                <w:szCs w:val="24"/>
              </w:rPr>
            </w:pPr>
            <w:r>
              <w:rPr>
                <w:rFonts w:ascii="Calibri" w:hAnsi="Calibri" w:cs="Calibri"/>
                <w:sz w:val="24"/>
                <w:szCs w:val="24"/>
              </w:rPr>
              <w:t>Memorial Vase</w:t>
            </w:r>
          </w:p>
        </w:tc>
        <w:tc>
          <w:tcPr>
            <w:tcW w:w="3005" w:type="dxa"/>
          </w:tcPr>
          <w:p w14:paraId="575D0187" w14:textId="7D2C2258" w:rsidR="00083BBF" w:rsidRDefault="00083BBF">
            <w:pPr>
              <w:rPr>
                <w:rFonts w:ascii="Calibri" w:hAnsi="Calibri" w:cs="Calibri"/>
                <w:sz w:val="24"/>
                <w:szCs w:val="24"/>
              </w:rPr>
            </w:pPr>
            <w:r>
              <w:rPr>
                <w:rFonts w:ascii="Calibri" w:hAnsi="Calibri" w:cs="Calibri"/>
                <w:sz w:val="24"/>
                <w:szCs w:val="24"/>
              </w:rPr>
              <w:t>£44.00</w:t>
            </w:r>
          </w:p>
        </w:tc>
        <w:tc>
          <w:tcPr>
            <w:tcW w:w="3006" w:type="dxa"/>
          </w:tcPr>
          <w:p w14:paraId="26107E9F" w14:textId="1DCCB7D1" w:rsidR="00083BBF" w:rsidRPr="00CC1F04" w:rsidRDefault="006F4200">
            <w:pPr>
              <w:rPr>
                <w:rFonts w:ascii="Calibri" w:hAnsi="Calibri" w:cs="Calibri"/>
                <w:sz w:val="24"/>
                <w:szCs w:val="24"/>
              </w:rPr>
            </w:pPr>
            <w:r>
              <w:rPr>
                <w:rFonts w:ascii="Calibri" w:hAnsi="Calibri" w:cs="Calibri"/>
                <w:sz w:val="24"/>
                <w:szCs w:val="24"/>
              </w:rPr>
              <w:t>£132.00</w:t>
            </w:r>
          </w:p>
        </w:tc>
      </w:tr>
      <w:tr w:rsidR="00083BBF" w14:paraId="21400615" w14:textId="77777777" w:rsidTr="002E0835">
        <w:tc>
          <w:tcPr>
            <w:tcW w:w="3005" w:type="dxa"/>
          </w:tcPr>
          <w:p w14:paraId="40675DDA" w14:textId="5A705D53" w:rsidR="00083BBF" w:rsidRDefault="00083BBF">
            <w:pPr>
              <w:rPr>
                <w:rFonts w:ascii="Calibri" w:hAnsi="Calibri" w:cs="Calibri"/>
                <w:sz w:val="24"/>
                <w:szCs w:val="24"/>
              </w:rPr>
            </w:pPr>
            <w:r>
              <w:rPr>
                <w:rFonts w:ascii="Calibri" w:hAnsi="Calibri" w:cs="Calibri"/>
                <w:sz w:val="24"/>
                <w:szCs w:val="24"/>
              </w:rPr>
              <w:t xml:space="preserve">Wooden Cross – Must be removed after </w:t>
            </w:r>
            <w:r w:rsidR="00C17E3B">
              <w:rPr>
                <w:rFonts w:ascii="Calibri" w:hAnsi="Calibri" w:cs="Calibri"/>
                <w:sz w:val="24"/>
                <w:szCs w:val="24"/>
              </w:rPr>
              <w:t>18 months</w:t>
            </w:r>
          </w:p>
        </w:tc>
        <w:tc>
          <w:tcPr>
            <w:tcW w:w="3005" w:type="dxa"/>
          </w:tcPr>
          <w:p w14:paraId="58884A83" w14:textId="183F5802" w:rsidR="00083BBF" w:rsidRDefault="00083BBF">
            <w:pPr>
              <w:rPr>
                <w:rFonts w:ascii="Calibri" w:hAnsi="Calibri" w:cs="Calibri"/>
                <w:sz w:val="24"/>
                <w:szCs w:val="24"/>
              </w:rPr>
            </w:pPr>
            <w:r>
              <w:rPr>
                <w:rFonts w:ascii="Calibri" w:hAnsi="Calibri" w:cs="Calibri"/>
                <w:sz w:val="24"/>
                <w:szCs w:val="24"/>
              </w:rPr>
              <w:t>£44.00</w:t>
            </w:r>
          </w:p>
        </w:tc>
        <w:tc>
          <w:tcPr>
            <w:tcW w:w="3006" w:type="dxa"/>
          </w:tcPr>
          <w:p w14:paraId="7F9F6704" w14:textId="53BF5083" w:rsidR="00083BBF" w:rsidRPr="00CC1F04" w:rsidRDefault="006F4200">
            <w:pPr>
              <w:rPr>
                <w:rFonts w:ascii="Calibri" w:hAnsi="Calibri" w:cs="Calibri"/>
                <w:sz w:val="24"/>
                <w:szCs w:val="24"/>
              </w:rPr>
            </w:pPr>
            <w:r>
              <w:rPr>
                <w:rFonts w:ascii="Calibri" w:hAnsi="Calibri" w:cs="Calibri"/>
                <w:sz w:val="24"/>
                <w:szCs w:val="24"/>
              </w:rPr>
              <w:t>£132.00</w:t>
            </w:r>
          </w:p>
        </w:tc>
      </w:tr>
    </w:tbl>
    <w:p w14:paraId="766F3A8A" w14:textId="471DFD39" w:rsidR="0065169A" w:rsidRPr="00C17E3B" w:rsidRDefault="0065169A" w:rsidP="00C17E3B">
      <w:pPr>
        <w:pStyle w:val="NoSpacing"/>
        <w:rPr>
          <w:rFonts w:ascii="Calibri" w:hAnsi="Calibri" w:cs="Calibri"/>
          <w:b/>
          <w:bCs/>
        </w:rPr>
      </w:pPr>
      <w:r w:rsidRPr="00C17E3B">
        <w:rPr>
          <w:rFonts w:ascii="Calibri" w:hAnsi="Calibri" w:cs="Calibri"/>
          <w:b/>
          <w:bCs/>
        </w:rPr>
        <w:t>Non-Residents.</w:t>
      </w:r>
    </w:p>
    <w:p w14:paraId="33E20161" w14:textId="77777777" w:rsidR="00C17E3B" w:rsidRPr="00C17E3B" w:rsidRDefault="0065169A" w:rsidP="00C17E3B">
      <w:pPr>
        <w:pStyle w:val="NoSpacing"/>
        <w:rPr>
          <w:rFonts w:ascii="Calibri" w:hAnsi="Calibri" w:cs="Calibri"/>
        </w:rPr>
      </w:pPr>
      <w:r w:rsidRPr="00C17E3B">
        <w:rPr>
          <w:rFonts w:ascii="Calibri" w:hAnsi="Calibri" w:cs="Calibri"/>
        </w:rPr>
        <w:t>A resident is classed as someone whose main residence is within the Parish Council’s boundaries at the time of death.</w:t>
      </w:r>
    </w:p>
    <w:p w14:paraId="6CAF37B9" w14:textId="51FB61C1" w:rsidR="0065169A" w:rsidRPr="00C17E3B" w:rsidRDefault="0065169A">
      <w:pPr>
        <w:rPr>
          <w:rFonts w:ascii="Calibri" w:hAnsi="Calibri" w:cs="Calibri"/>
          <w:sz w:val="24"/>
          <w:szCs w:val="24"/>
        </w:rPr>
      </w:pPr>
      <w:r w:rsidRPr="00C17E3B">
        <w:rPr>
          <w:rFonts w:ascii="Calibri" w:hAnsi="Calibri" w:cs="Calibri"/>
          <w:sz w:val="24"/>
          <w:szCs w:val="24"/>
        </w:rPr>
        <w:t>A non-resident is classed as someone whose main residence is not within the Parish Council’s boundaries at the time of their death.  Residents who move out of area due to ill health or infirmity will be classed as residents for a period of 5 years.</w:t>
      </w:r>
    </w:p>
    <w:sectPr w:rsidR="0065169A" w:rsidRPr="00C17E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2F6"/>
    <w:rsid w:val="00083BBF"/>
    <w:rsid w:val="00225B3C"/>
    <w:rsid w:val="002E0835"/>
    <w:rsid w:val="005B69AA"/>
    <w:rsid w:val="0065169A"/>
    <w:rsid w:val="006D52F6"/>
    <w:rsid w:val="006F4200"/>
    <w:rsid w:val="00B86ED6"/>
    <w:rsid w:val="00C17E3B"/>
    <w:rsid w:val="00CC1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7B710"/>
  <w15:chartTrackingRefBased/>
  <w15:docId w15:val="{4146AE52-8066-4544-A747-30D0D408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52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52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52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52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52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52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52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52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52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2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52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52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52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52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52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52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52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52F6"/>
    <w:rPr>
      <w:rFonts w:eastAsiaTheme="majorEastAsia" w:cstheme="majorBidi"/>
      <w:color w:val="272727" w:themeColor="text1" w:themeTint="D8"/>
    </w:rPr>
  </w:style>
  <w:style w:type="paragraph" w:styleId="Title">
    <w:name w:val="Title"/>
    <w:basedOn w:val="Normal"/>
    <w:next w:val="Normal"/>
    <w:link w:val="TitleChar"/>
    <w:uiPriority w:val="10"/>
    <w:qFormat/>
    <w:rsid w:val="006D52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2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52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52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52F6"/>
    <w:pPr>
      <w:spacing w:before="160"/>
      <w:jc w:val="center"/>
    </w:pPr>
    <w:rPr>
      <w:i/>
      <w:iCs/>
      <w:color w:val="404040" w:themeColor="text1" w:themeTint="BF"/>
    </w:rPr>
  </w:style>
  <w:style w:type="character" w:customStyle="1" w:styleId="QuoteChar">
    <w:name w:val="Quote Char"/>
    <w:basedOn w:val="DefaultParagraphFont"/>
    <w:link w:val="Quote"/>
    <w:uiPriority w:val="29"/>
    <w:rsid w:val="006D52F6"/>
    <w:rPr>
      <w:i/>
      <w:iCs/>
      <w:color w:val="404040" w:themeColor="text1" w:themeTint="BF"/>
    </w:rPr>
  </w:style>
  <w:style w:type="paragraph" w:styleId="ListParagraph">
    <w:name w:val="List Paragraph"/>
    <w:basedOn w:val="Normal"/>
    <w:uiPriority w:val="34"/>
    <w:qFormat/>
    <w:rsid w:val="006D52F6"/>
    <w:pPr>
      <w:ind w:left="720"/>
      <w:contextualSpacing/>
    </w:pPr>
  </w:style>
  <w:style w:type="character" w:styleId="IntenseEmphasis">
    <w:name w:val="Intense Emphasis"/>
    <w:basedOn w:val="DefaultParagraphFont"/>
    <w:uiPriority w:val="21"/>
    <w:qFormat/>
    <w:rsid w:val="006D52F6"/>
    <w:rPr>
      <w:i/>
      <w:iCs/>
      <w:color w:val="0F4761" w:themeColor="accent1" w:themeShade="BF"/>
    </w:rPr>
  </w:style>
  <w:style w:type="paragraph" w:styleId="IntenseQuote">
    <w:name w:val="Intense Quote"/>
    <w:basedOn w:val="Normal"/>
    <w:next w:val="Normal"/>
    <w:link w:val="IntenseQuoteChar"/>
    <w:uiPriority w:val="30"/>
    <w:qFormat/>
    <w:rsid w:val="006D52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52F6"/>
    <w:rPr>
      <w:i/>
      <w:iCs/>
      <w:color w:val="0F4761" w:themeColor="accent1" w:themeShade="BF"/>
    </w:rPr>
  </w:style>
  <w:style w:type="character" w:styleId="IntenseReference">
    <w:name w:val="Intense Reference"/>
    <w:basedOn w:val="DefaultParagraphFont"/>
    <w:uiPriority w:val="32"/>
    <w:qFormat/>
    <w:rsid w:val="006D52F6"/>
    <w:rPr>
      <w:b/>
      <w:bCs/>
      <w:smallCaps/>
      <w:color w:val="0F4761" w:themeColor="accent1" w:themeShade="BF"/>
      <w:spacing w:val="5"/>
    </w:rPr>
  </w:style>
  <w:style w:type="table" w:styleId="TableGrid">
    <w:name w:val="Table Grid"/>
    <w:basedOn w:val="TableNormal"/>
    <w:uiPriority w:val="39"/>
    <w:rsid w:val="002E0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7E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Kitchener</dc:creator>
  <cp:keywords/>
  <dc:description/>
  <cp:lastModifiedBy>Sarah Kitchener</cp:lastModifiedBy>
  <cp:revision>3</cp:revision>
  <dcterms:created xsi:type="dcterms:W3CDTF">2024-07-10T11:17:00Z</dcterms:created>
  <dcterms:modified xsi:type="dcterms:W3CDTF">2024-07-10T11:19:00Z</dcterms:modified>
</cp:coreProperties>
</file>