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2E96E" w14:textId="35693CB4" w:rsidR="00A3682B" w:rsidRPr="00156004" w:rsidRDefault="00493247">
      <w:pPr>
        <w:rPr>
          <w:b/>
          <w:bCs/>
        </w:rPr>
      </w:pPr>
      <w:bookmarkStart w:id="0" w:name="_Hlk50132752"/>
      <w:r>
        <w:rPr>
          <w:b/>
          <w:bCs/>
        </w:rPr>
        <w:t>Ockbrook and Borrowash Parish Council – Deans Drive Play Park.</w:t>
      </w:r>
    </w:p>
    <w:p w14:paraId="12A1DEBD" w14:textId="3A781DDC" w:rsidR="00156004" w:rsidRPr="00156004" w:rsidRDefault="00156004">
      <w:pPr>
        <w:rPr>
          <w:b/>
          <w:bCs/>
        </w:rPr>
      </w:pPr>
      <w:r w:rsidRPr="00156004">
        <w:rPr>
          <w:b/>
          <w:bCs/>
        </w:rPr>
        <w:t xml:space="preserve">Re-opening of Play Equipment </w:t>
      </w:r>
    </w:p>
    <w:p w14:paraId="2D1E4E79" w14:textId="084E2676" w:rsidR="00156004" w:rsidRPr="00156004" w:rsidRDefault="00156004">
      <w:pPr>
        <w:rPr>
          <w:b/>
          <w:bCs/>
        </w:rPr>
      </w:pPr>
      <w:r w:rsidRPr="00156004">
        <w:rPr>
          <w:b/>
          <w:bCs/>
        </w:rPr>
        <w:t>Risk Assessment</w:t>
      </w:r>
    </w:p>
    <w:p w14:paraId="0B11025B" w14:textId="648ACD7B" w:rsidR="0016045F" w:rsidRDefault="00156004">
      <w:r>
        <w:t>The Government recently announced that Play Parks could be re-opened on 4 July 2020</w:t>
      </w:r>
      <w:r w:rsidR="0016045F">
        <w:t xml:space="preserve"> and </w:t>
      </w:r>
      <w:r>
        <w:t>subsequently produced guidance offering “</w:t>
      </w:r>
      <w:r w:rsidRPr="00156004">
        <w:t>practical advice on how these can be reopened and managed effectively to enable their use while minimising the transmission risk of COVID-19</w:t>
      </w:r>
      <w:r>
        <w:t>”</w:t>
      </w:r>
      <w:r w:rsidRPr="00156004">
        <w:t>.</w:t>
      </w:r>
      <w:r>
        <w:t xml:space="preserve"> </w:t>
      </w:r>
      <w:r w:rsidR="0016045F">
        <w:t>The guidance is available at:</w:t>
      </w:r>
    </w:p>
    <w:p w14:paraId="7E6593CD" w14:textId="416B3F28" w:rsidR="00236374" w:rsidRDefault="00F75AF3">
      <w:hyperlink r:id="rId11" w:history="1">
        <w:r w:rsidR="0016045F" w:rsidRPr="0024558F">
          <w:rPr>
            <w:rStyle w:val="Hyperlink"/>
          </w:rPr>
          <w:t>https://www.gov.uk/government/publications/covid-19-guidance-for-managing-playgrounds-and-outdoor-gyms/covid-19-guidance-for-managing-playgrounds-and-outdoor-gyms</w:t>
        </w:r>
      </w:hyperlink>
      <w:r w:rsidR="0016045F">
        <w:t xml:space="preserve"> </w:t>
      </w:r>
    </w:p>
    <w:p w14:paraId="39262C26" w14:textId="4A62B274" w:rsidR="00156004" w:rsidRDefault="00156004">
      <w:r>
        <w:t>Th</w:t>
      </w:r>
      <w:r w:rsidR="0016045F">
        <w:t>e guidance</w:t>
      </w:r>
      <w:r>
        <w:t xml:space="preserve"> includes a requirement to “</w:t>
      </w:r>
      <w:r w:rsidRPr="00156004">
        <w:t>carry out an appropriate COVID-19 risk assessment</w:t>
      </w:r>
      <w:r w:rsidR="00CD23DD">
        <w:t>”.</w:t>
      </w:r>
      <w:r>
        <w:t xml:space="preserve"> It is made very clear that “</w:t>
      </w:r>
      <w:r w:rsidRPr="00156004">
        <w:t>Failure to complete a risk assessment which takes account of COVID-19, or completing a risk assessment but failing to put in place sufficient measures to manage the risk of COVID-19, could constitute a breach of health and safety law</w:t>
      </w:r>
      <w:r>
        <w:t>”</w:t>
      </w:r>
      <w:r w:rsidRPr="00156004">
        <w:t>.</w:t>
      </w:r>
      <w:r>
        <w:t xml:space="preserve"> On that basis, this Risk Assessment takes each of the Key Principles as set out in the guidance and assesses </w:t>
      </w:r>
      <w:r w:rsidR="0016045F">
        <w:t xml:space="preserve">whether or not practical arrangements can be put in place in the context of the Play </w:t>
      </w:r>
      <w:r w:rsidR="008021E4">
        <w:t xml:space="preserve">Area’s and Outdoor Gym in Draycott </w:t>
      </w:r>
      <w:r w:rsidR="0016045F">
        <w:t xml:space="preserve">. </w:t>
      </w:r>
    </w:p>
    <w:p w14:paraId="4764EC93" w14:textId="2B05F5A8" w:rsidR="00236374" w:rsidRDefault="00236374">
      <w:r>
        <w:t xml:space="preserve">In addition to the government advice, we have also </w:t>
      </w:r>
      <w:r w:rsidR="006C1381">
        <w:t xml:space="preserve">reviewed the </w:t>
      </w:r>
      <w:r w:rsidR="00C318ED">
        <w:t xml:space="preserve">report </w:t>
      </w:r>
      <w:r w:rsidR="006C1381">
        <w:t xml:space="preserve">by the Association of Play Industries </w:t>
      </w:r>
      <w:r w:rsidR="0055712A">
        <w:t xml:space="preserve">with </w:t>
      </w:r>
      <w:r w:rsidR="006C1381">
        <w:t xml:space="preserve"> </w:t>
      </w:r>
      <w:r w:rsidR="00915DA4">
        <w:t>guidelines for a reasonable approach to enable play areas to be re-opened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6045F" w:rsidRPr="0016045F" w14:paraId="343083E5" w14:textId="77777777" w:rsidTr="0016045F">
        <w:tc>
          <w:tcPr>
            <w:tcW w:w="3487" w:type="dxa"/>
          </w:tcPr>
          <w:p w14:paraId="4BC48620" w14:textId="22825F4D" w:rsidR="0016045F" w:rsidRPr="0016045F" w:rsidRDefault="0016045F">
            <w:pPr>
              <w:rPr>
                <w:b/>
                <w:bCs/>
              </w:rPr>
            </w:pPr>
            <w:r w:rsidRPr="0016045F">
              <w:rPr>
                <w:b/>
                <w:bCs/>
              </w:rPr>
              <w:t>Key Principle</w:t>
            </w:r>
          </w:p>
        </w:tc>
        <w:tc>
          <w:tcPr>
            <w:tcW w:w="3487" w:type="dxa"/>
          </w:tcPr>
          <w:p w14:paraId="4D5A4D2B" w14:textId="0A4F87BD" w:rsidR="0016045F" w:rsidRPr="0016045F" w:rsidRDefault="001604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Government </w:t>
            </w:r>
            <w:r w:rsidRPr="0016045F">
              <w:rPr>
                <w:b/>
                <w:bCs/>
              </w:rPr>
              <w:t>Guidance</w:t>
            </w:r>
          </w:p>
        </w:tc>
        <w:tc>
          <w:tcPr>
            <w:tcW w:w="3487" w:type="dxa"/>
          </w:tcPr>
          <w:p w14:paraId="1C4F58C5" w14:textId="7FF48C2A" w:rsidR="0016045F" w:rsidRPr="0016045F" w:rsidRDefault="0016045F">
            <w:pPr>
              <w:rPr>
                <w:b/>
                <w:bCs/>
              </w:rPr>
            </w:pPr>
            <w:r w:rsidRPr="0016045F">
              <w:rPr>
                <w:b/>
                <w:bCs/>
              </w:rPr>
              <w:t>Assessment</w:t>
            </w:r>
            <w:r w:rsidR="00D22FBC">
              <w:rPr>
                <w:b/>
                <w:bCs/>
              </w:rPr>
              <w:t xml:space="preserve"> and mitigation actions</w:t>
            </w:r>
          </w:p>
        </w:tc>
        <w:tc>
          <w:tcPr>
            <w:tcW w:w="3487" w:type="dxa"/>
          </w:tcPr>
          <w:p w14:paraId="2B0D317E" w14:textId="05699AA7" w:rsidR="0016045F" w:rsidRPr="0016045F" w:rsidRDefault="0016045F">
            <w:pPr>
              <w:rPr>
                <w:b/>
                <w:bCs/>
              </w:rPr>
            </w:pPr>
            <w:r w:rsidRPr="0016045F">
              <w:rPr>
                <w:b/>
                <w:bCs/>
              </w:rPr>
              <w:t xml:space="preserve">Conclusion </w:t>
            </w:r>
          </w:p>
        </w:tc>
      </w:tr>
      <w:tr w:rsidR="0016045F" w14:paraId="392C2331" w14:textId="77777777" w:rsidTr="0016045F">
        <w:tc>
          <w:tcPr>
            <w:tcW w:w="3487" w:type="dxa"/>
          </w:tcPr>
          <w:p w14:paraId="4440A8DB" w14:textId="7CDC0CC1" w:rsidR="0016045F" w:rsidRDefault="0016045F">
            <w:r>
              <w:t>General Maintenance Issues following Lockdown</w:t>
            </w:r>
          </w:p>
        </w:tc>
        <w:tc>
          <w:tcPr>
            <w:tcW w:w="3487" w:type="dxa"/>
          </w:tcPr>
          <w:p w14:paraId="7F9AAA07" w14:textId="45F1782C" w:rsidR="0016045F" w:rsidRDefault="0016045F">
            <w:r>
              <w:t xml:space="preserve">Ensure equipment is </w:t>
            </w:r>
            <w:r w:rsidRPr="0016045F">
              <w:t>safe to use and that risks from damaged or defective equipment are addressed before opening.</w:t>
            </w:r>
          </w:p>
        </w:tc>
        <w:tc>
          <w:tcPr>
            <w:tcW w:w="3487" w:type="dxa"/>
          </w:tcPr>
          <w:p w14:paraId="6B79D1E4" w14:textId="1D4AD6D3" w:rsidR="0016045F" w:rsidRDefault="00A82CD6">
            <w:proofErr w:type="spellStart"/>
            <w:proofErr w:type="gramStart"/>
            <w:r>
              <w:t>Play ground</w:t>
            </w:r>
            <w:proofErr w:type="spellEnd"/>
            <w:proofErr w:type="gramEnd"/>
            <w:r>
              <w:t xml:space="preserve"> inspections occur monthly.</w:t>
            </w:r>
          </w:p>
        </w:tc>
        <w:tc>
          <w:tcPr>
            <w:tcW w:w="3487" w:type="dxa"/>
          </w:tcPr>
          <w:p w14:paraId="3B7601B4" w14:textId="579F4E66" w:rsidR="0016045F" w:rsidRDefault="008021E4">
            <w:r>
              <w:t>Low risk</w:t>
            </w:r>
          </w:p>
        </w:tc>
      </w:tr>
      <w:tr w:rsidR="0016045F" w14:paraId="3A8EDFCC" w14:textId="77777777" w:rsidTr="0016045F">
        <w:tc>
          <w:tcPr>
            <w:tcW w:w="3487" w:type="dxa"/>
          </w:tcPr>
          <w:p w14:paraId="6D4EEF9B" w14:textId="27212F9F" w:rsidR="0016045F" w:rsidRDefault="0016045F">
            <w:r>
              <w:t xml:space="preserve">Social Distancing </w:t>
            </w:r>
          </w:p>
        </w:tc>
        <w:tc>
          <w:tcPr>
            <w:tcW w:w="3487" w:type="dxa"/>
          </w:tcPr>
          <w:p w14:paraId="34DFE60A" w14:textId="77777777" w:rsidR="0016045F" w:rsidRDefault="00AD086B">
            <w:r>
              <w:t>P</w:t>
            </w:r>
            <w:r w:rsidRPr="00AD086B">
              <w:t>ut in place measures to support social distancing</w:t>
            </w:r>
            <w:r>
              <w:t xml:space="preserve"> – 2m or 1m plus risk mitigations. Examples given include:</w:t>
            </w:r>
          </w:p>
          <w:p w14:paraId="1D5AE78E" w14:textId="42AD6E89" w:rsidR="00AD086B" w:rsidRDefault="00AD086B" w:rsidP="00AD086B">
            <w:pPr>
              <w:pStyle w:val="ListParagraph"/>
              <w:numPr>
                <w:ilvl w:val="0"/>
                <w:numId w:val="1"/>
              </w:numPr>
            </w:pPr>
            <w:r>
              <w:t>Limit number of users at any one time</w:t>
            </w:r>
          </w:p>
          <w:p w14:paraId="12766386" w14:textId="3B1AB8A7" w:rsidR="00AD086B" w:rsidRDefault="00AD086B" w:rsidP="00AD086B">
            <w:pPr>
              <w:pStyle w:val="ListParagraph"/>
              <w:numPr>
                <w:ilvl w:val="0"/>
                <w:numId w:val="1"/>
              </w:numPr>
            </w:pPr>
            <w:r>
              <w:t>Booking system</w:t>
            </w:r>
          </w:p>
          <w:p w14:paraId="0B2AB73D" w14:textId="11170DD8" w:rsidR="00AD086B" w:rsidRDefault="00AD086B" w:rsidP="00AD086B">
            <w:pPr>
              <w:pStyle w:val="ListParagraph"/>
              <w:numPr>
                <w:ilvl w:val="0"/>
                <w:numId w:val="1"/>
              </w:numPr>
            </w:pPr>
            <w:r>
              <w:t>Advisory signage</w:t>
            </w:r>
          </w:p>
          <w:p w14:paraId="084B013A" w14:textId="343F38A8" w:rsidR="008021E4" w:rsidRDefault="00AD086B" w:rsidP="00297EC2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Create waiting areas with barriers</w:t>
            </w:r>
          </w:p>
        </w:tc>
        <w:tc>
          <w:tcPr>
            <w:tcW w:w="3487" w:type="dxa"/>
          </w:tcPr>
          <w:p w14:paraId="261B9CD5" w14:textId="23FF0EBB" w:rsidR="003C7D79" w:rsidRDefault="008021E4" w:rsidP="003C7D79">
            <w:r>
              <w:lastRenderedPageBreak/>
              <w:t>We do not have the manpower to “police” social distancing therefore the only mitigation is to produce signage</w:t>
            </w:r>
            <w:r w:rsidR="003C7D79">
              <w:t>.</w:t>
            </w:r>
            <w:r>
              <w:t xml:space="preserve"> </w:t>
            </w:r>
          </w:p>
          <w:p w14:paraId="407AC18C" w14:textId="37C4E25B" w:rsidR="008021E4" w:rsidRDefault="008021E4"/>
        </w:tc>
        <w:tc>
          <w:tcPr>
            <w:tcW w:w="3487" w:type="dxa"/>
          </w:tcPr>
          <w:p w14:paraId="405FE988" w14:textId="08379644" w:rsidR="0016045F" w:rsidRDefault="00544B69">
            <w:r>
              <w:t xml:space="preserve">Remains </w:t>
            </w:r>
            <w:r w:rsidR="00070127">
              <w:t>High</w:t>
            </w:r>
            <w:r w:rsidR="00622F46">
              <w:t xml:space="preserve"> Risk</w:t>
            </w:r>
          </w:p>
        </w:tc>
      </w:tr>
      <w:tr w:rsidR="0016045F" w14:paraId="37BC41E4" w14:textId="77777777" w:rsidTr="0016045F">
        <w:tc>
          <w:tcPr>
            <w:tcW w:w="3487" w:type="dxa"/>
          </w:tcPr>
          <w:p w14:paraId="162C6356" w14:textId="0EFB5D81" w:rsidR="0016045F" w:rsidRDefault="0016045F">
            <w:r>
              <w:t>Cleaning and Hygiene</w:t>
            </w:r>
          </w:p>
        </w:tc>
        <w:tc>
          <w:tcPr>
            <w:tcW w:w="3487" w:type="dxa"/>
          </w:tcPr>
          <w:p w14:paraId="235BD51B" w14:textId="77777777" w:rsidR="0016045F" w:rsidRDefault="00C06F74">
            <w:r>
              <w:t>C</w:t>
            </w:r>
            <w:r w:rsidRPr="00C06F74">
              <w:t>lean high traffic touch points frequently</w:t>
            </w:r>
            <w:r>
              <w:t>. This includes:</w:t>
            </w:r>
          </w:p>
          <w:p w14:paraId="437C8C96" w14:textId="026DAD8E" w:rsidR="00C06F74" w:rsidRDefault="00C06F74" w:rsidP="00C06F74">
            <w:pPr>
              <w:pStyle w:val="ListParagraph"/>
              <w:numPr>
                <w:ilvl w:val="0"/>
                <w:numId w:val="2"/>
              </w:numPr>
            </w:pPr>
            <w:r>
              <w:t xml:space="preserve">All Play Equipment </w:t>
            </w:r>
          </w:p>
          <w:p w14:paraId="44A7C946" w14:textId="7CBE20A7" w:rsidR="008021E4" w:rsidRDefault="008021E4" w:rsidP="00C06F74">
            <w:pPr>
              <w:pStyle w:val="ListParagraph"/>
              <w:numPr>
                <w:ilvl w:val="0"/>
                <w:numId w:val="2"/>
              </w:numPr>
            </w:pPr>
            <w:r>
              <w:t>All outdoor gym equipment</w:t>
            </w:r>
          </w:p>
          <w:p w14:paraId="01FBC4EF" w14:textId="77777777" w:rsidR="00C06F74" w:rsidRDefault="00C06F74" w:rsidP="00C06F74">
            <w:pPr>
              <w:pStyle w:val="ListParagraph"/>
              <w:numPr>
                <w:ilvl w:val="0"/>
                <w:numId w:val="2"/>
              </w:numPr>
            </w:pPr>
            <w:r>
              <w:t xml:space="preserve">Seating Areas </w:t>
            </w:r>
          </w:p>
          <w:p w14:paraId="3C957190" w14:textId="77777777" w:rsidR="00C06F74" w:rsidRDefault="00C06F74" w:rsidP="00C06F74">
            <w:pPr>
              <w:pStyle w:val="ListParagraph"/>
              <w:numPr>
                <w:ilvl w:val="0"/>
                <w:numId w:val="2"/>
              </w:numPr>
            </w:pPr>
            <w:r>
              <w:t>Refuse Bins</w:t>
            </w:r>
          </w:p>
          <w:p w14:paraId="6E61DB66" w14:textId="3C270173" w:rsidR="00C06F74" w:rsidRDefault="00C06F74" w:rsidP="00C06F74">
            <w:pPr>
              <w:pStyle w:val="ListParagraph"/>
              <w:numPr>
                <w:ilvl w:val="0"/>
                <w:numId w:val="3"/>
              </w:numPr>
            </w:pPr>
            <w:r>
              <w:t>Users to clean equipment before and after use</w:t>
            </w:r>
          </w:p>
          <w:p w14:paraId="2329C822" w14:textId="27B9941A" w:rsidR="00C06F74" w:rsidRDefault="00C06F74" w:rsidP="00C06F74">
            <w:pPr>
              <w:pStyle w:val="ListParagraph"/>
              <w:numPr>
                <w:ilvl w:val="0"/>
                <w:numId w:val="3"/>
              </w:numPr>
            </w:pPr>
            <w:r>
              <w:t>Use of hand sanitiser and frequent hand washing</w:t>
            </w:r>
          </w:p>
          <w:p w14:paraId="3FEBA5FF" w14:textId="30B90030" w:rsidR="00C06F74" w:rsidRDefault="00C06F74" w:rsidP="00C06F74">
            <w:r>
              <w:t>W</w:t>
            </w:r>
            <w:r w:rsidRPr="00C06F74">
              <w:t>here practicable, provid</w:t>
            </w:r>
            <w:r>
              <w:t>e</w:t>
            </w:r>
            <w:r w:rsidRPr="00C06F74">
              <w:t xml:space="preserve"> hand sanitiser or hand washing facilities at entry and exit points</w:t>
            </w:r>
            <w:r>
              <w:t xml:space="preserve">. </w:t>
            </w:r>
          </w:p>
        </w:tc>
        <w:tc>
          <w:tcPr>
            <w:tcW w:w="3487" w:type="dxa"/>
          </w:tcPr>
          <w:p w14:paraId="4E4BF39D" w14:textId="150A4F0C" w:rsidR="0016045F" w:rsidRDefault="000614CA">
            <w:r>
              <w:t xml:space="preserve">It is not feasible for the council </w:t>
            </w:r>
            <w:r w:rsidR="00B45A0E">
              <w:t>to clean high traffic touch points frequently</w:t>
            </w:r>
            <w:r w:rsidR="0036485A">
              <w:t xml:space="preserve"> and </w:t>
            </w:r>
            <w:r w:rsidR="00DF2379">
              <w:t xml:space="preserve">the risk would remain the same between each user.  </w:t>
            </w:r>
            <w:r w:rsidR="00D838E9">
              <w:t xml:space="preserve">The only mitigation would be to produce signage asking users to clean hands </w:t>
            </w:r>
            <w:r w:rsidR="0057159A">
              <w:t>and use sanitiser</w:t>
            </w:r>
            <w:r w:rsidR="00711DD6">
              <w:t xml:space="preserve"> </w:t>
            </w:r>
          </w:p>
        </w:tc>
        <w:tc>
          <w:tcPr>
            <w:tcW w:w="3487" w:type="dxa"/>
          </w:tcPr>
          <w:p w14:paraId="52CDAEEB" w14:textId="489493DF" w:rsidR="0016045F" w:rsidRDefault="0057159A">
            <w:r>
              <w:t xml:space="preserve">Remains high </w:t>
            </w:r>
            <w:r w:rsidR="00C574B4">
              <w:t>risk</w:t>
            </w:r>
          </w:p>
        </w:tc>
      </w:tr>
      <w:tr w:rsidR="0016045F" w14:paraId="434CFBA4" w14:textId="77777777" w:rsidTr="0016045F">
        <w:tc>
          <w:tcPr>
            <w:tcW w:w="3487" w:type="dxa"/>
          </w:tcPr>
          <w:p w14:paraId="4C389D79" w14:textId="4012FC39" w:rsidR="0016045F" w:rsidRDefault="0016045F">
            <w:r>
              <w:t>Face Coverings</w:t>
            </w:r>
          </w:p>
        </w:tc>
        <w:tc>
          <w:tcPr>
            <w:tcW w:w="3487" w:type="dxa"/>
          </w:tcPr>
          <w:p w14:paraId="32FDF609" w14:textId="3DDE658A" w:rsidR="0016045F" w:rsidRDefault="00CD23DD">
            <w:r w:rsidRPr="00CD23DD">
              <w:t>If possible, a face covering should be worn in enclosed public spaces where social distancing isn’t possible and where the public may come into contact with people they do not normally meet.</w:t>
            </w:r>
            <w:r>
              <w:t xml:space="preserve"> (F</w:t>
            </w:r>
            <w:r w:rsidRPr="00CD23DD">
              <w:t>ace coverings should not be used by children under the age of 3 or those who may find it difficult to manage them correctly</w:t>
            </w:r>
            <w:r>
              <w:t xml:space="preserve">). </w:t>
            </w:r>
          </w:p>
        </w:tc>
        <w:tc>
          <w:tcPr>
            <w:tcW w:w="3487" w:type="dxa"/>
          </w:tcPr>
          <w:p w14:paraId="53D49142" w14:textId="31D46232" w:rsidR="0016045F" w:rsidRDefault="00DF2379">
            <w:r>
              <w:t>Face coverings would be a potential hazard on play equipment</w:t>
            </w:r>
            <w:r w:rsidR="00BC3A58">
              <w:t xml:space="preserve">.  It will be parental choice </w:t>
            </w:r>
            <w:r w:rsidR="003E7233">
              <w:t>to use face coverings.</w:t>
            </w:r>
          </w:p>
        </w:tc>
        <w:tc>
          <w:tcPr>
            <w:tcW w:w="3487" w:type="dxa"/>
          </w:tcPr>
          <w:p w14:paraId="1CD57096" w14:textId="06B9FC83" w:rsidR="0016045F" w:rsidRDefault="00C574B4">
            <w:r>
              <w:t>Low risk</w:t>
            </w:r>
          </w:p>
        </w:tc>
      </w:tr>
      <w:tr w:rsidR="0016045F" w14:paraId="4A4D2BF2" w14:textId="77777777" w:rsidTr="0016045F">
        <w:tc>
          <w:tcPr>
            <w:tcW w:w="3487" w:type="dxa"/>
          </w:tcPr>
          <w:p w14:paraId="247D931D" w14:textId="7B0D7C42" w:rsidR="0016045F" w:rsidRDefault="0016045F">
            <w:r>
              <w:t>Additional Measures and Communicating with Parents</w:t>
            </w:r>
          </w:p>
        </w:tc>
        <w:tc>
          <w:tcPr>
            <w:tcW w:w="3487" w:type="dxa"/>
          </w:tcPr>
          <w:p w14:paraId="78468C68" w14:textId="29C1DA04" w:rsidR="00CD23DD" w:rsidRDefault="00CD23DD" w:rsidP="00CD23DD">
            <w:r>
              <w:t>Promote responsible behaviour by children, parents, carers and guardians. For example, owners and operators should consider putting up signs to make clear to users, parents, guardians and carers that:</w:t>
            </w:r>
          </w:p>
          <w:p w14:paraId="2930DC5D" w14:textId="77777777" w:rsidR="00CD23DD" w:rsidRDefault="00CD23DD" w:rsidP="00CD23DD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consumption of food or drink on play equipment or in the playground area is banned</w:t>
            </w:r>
          </w:p>
          <w:p w14:paraId="0081781C" w14:textId="05828F71" w:rsidR="0016045F" w:rsidRDefault="00CD23DD" w:rsidP="00CD23DD">
            <w:pPr>
              <w:pStyle w:val="ListParagraph"/>
              <w:numPr>
                <w:ilvl w:val="0"/>
                <w:numId w:val="4"/>
              </w:numPr>
            </w:pPr>
            <w:r>
              <w:t xml:space="preserve">parents, guardians or carers should dispose of all litter including any used protective wear such as face coverings or gloves properly in litter bins, taking it home where a </w:t>
            </w:r>
            <w:r w:rsidRPr="00CD23DD">
              <w:t>bin is not provided.</w:t>
            </w:r>
          </w:p>
        </w:tc>
        <w:tc>
          <w:tcPr>
            <w:tcW w:w="3487" w:type="dxa"/>
          </w:tcPr>
          <w:p w14:paraId="01E982F9" w14:textId="004ABA54" w:rsidR="0016045F" w:rsidRDefault="008021E4">
            <w:r>
              <w:lastRenderedPageBreak/>
              <w:t>Signage</w:t>
            </w:r>
            <w:r w:rsidR="00703465">
              <w:t xml:space="preserve"> – could only produce a4 laminated signs which would be easy to </w:t>
            </w:r>
            <w:r w:rsidR="00FD0980">
              <w:t xml:space="preserve">miss seeing.  </w:t>
            </w:r>
          </w:p>
        </w:tc>
        <w:tc>
          <w:tcPr>
            <w:tcW w:w="3487" w:type="dxa"/>
          </w:tcPr>
          <w:p w14:paraId="765231CB" w14:textId="2F1A33C0" w:rsidR="0016045F" w:rsidRDefault="00DE244D">
            <w:r>
              <w:t>Medium risk</w:t>
            </w:r>
          </w:p>
        </w:tc>
      </w:tr>
      <w:tr w:rsidR="0016045F" w14:paraId="120EA3EB" w14:textId="77777777" w:rsidTr="0016045F">
        <w:tc>
          <w:tcPr>
            <w:tcW w:w="3487" w:type="dxa"/>
          </w:tcPr>
          <w:p w14:paraId="10B443B8" w14:textId="516947E1" w:rsidR="0016045F" w:rsidRDefault="0016045F">
            <w:r>
              <w:t>Considering Children with Additional Needs</w:t>
            </w:r>
          </w:p>
        </w:tc>
        <w:tc>
          <w:tcPr>
            <w:tcW w:w="3487" w:type="dxa"/>
          </w:tcPr>
          <w:p w14:paraId="6E96AB41" w14:textId="63F24429" w:rsidR="0016045F" w:rsidRDefault="00CD23DD">
            <w:r>
              <w:t>Ta</w:t>
            </w:r>
            <w:r w:rsidRPr="00CD23DD">
              <w:t>ke into account the requirements of children with additional needs.</w:t>
            </w:r>
          </w:p>
        </w:tc>
        <w:tc>
          <w:tcPr>
            <w:tcW w:w="3487" w:type="dxa"/>
          </w:tcPr>
          <w:p w14:paraId="2534CC69" w14:textId="772E12E5" w:rsidR="0016045F" w:rsidRDefault="009576B1">
            <w:r>
              <w:t>We will use pictures on our signage</w:t>
            </w:r>
          </w:p>
        </w:tc>
        <w:tc>
          <w:tcPr>
            <w:tcW w:w="3487" w:type="dxa"/>
          </w:tcPr>
          <w:p w14:paraId="75928BEB" w14:textId="55DA26A7" w:rsidR="0016045F" w:rsidRDefault="00DE244D">
            <w:r>
              <w:t>Low risk</w:t>
            </w:r>
          </w:p>
        </w:tc>
      </w:tr>
      <w:tr w:rsidR="0016045F" w14:paraId="3419FF0A" w14:textId="77777777" w:rsidTr="0016045F">
        <w:tc>
          <w:tcPr>
            <w:tcW w:w="3487" w:type="dxa"/>
          </w:tcPr>
          <w:p w14:paraId="2AB47CFA" w14:textId="73D2AAC2" w:rsidR="0016045F" w:rsidRDefault="0016045F">
            <w:r>
              <w:t>Keeping Staff Safe</w:t>
            </w:r>
          </w:p>
        </w:tc>
        <w:tc>
          <w:tcPr>
            <w:tcW w:w="3487" w:type="dxa"/>
          </w:tcPr>
          <w:p w14:paraId="6CBA97DC" w14:textId="706C58D4" w:rsidR="00CD23DD" w:rsidRDefault="00CD23DD" w:rsidP="00CD23DD">
            <w:r>
              <w:t>Consider the risks staff may be exposed to and how these can be mitigated. Staff roles may include:</w:t>
            </w:r>
          </w:p>
          <w:p w14:paraId="171D1DF6" w14:textId="77777777" w:rsidR="00CD23DD" w:rsidRDefault="00CD23DD" w:rsidP="00CD23DD">
            <w:pPr>
              <w:pStyle w:val="ListParagraph"/>
              <w:numPr>
                <w:ilvl w:val="0"/>
                <w:numId w:val="5"/>
              </w:numPr>
            </w:pPr>
            <w:r>
              <w:t>cleaning playground equipment/surrounding areas</w:t>
            </w:r>
          </w:p>
          <w:p w14:paraId="692B3EFD" w14:textId="211769FF" w:rsidR="0016045F" w:rsidRDefault="0016045F" w:rsidP="00297EC2"/>
        </w:tc>
        <w:tc>
          <w:tcPr>
            <w:tcW w:w="3487" w:type="dxa"/>
          </w:tcPr>
          <w:p w14:paraId="3B1C5B48" w14:textId="0DD46FA3" w:rsidR="0016045F" w:rsidRDefault="00C950C0">
            <w:r>
              <w:t xml:space="preserve">Contractor to </w:t>
            </w:r>
            <w:r w:rsidR="00DE244D">
              <w:t>wash hands regularly when working in and around the play areas</w:t>
            </w:r>
          </w:p>
        </w:tc>
        <w:tc>
          <w:tcPr>
            <w:tcW w:w="3487" w:type="dxa"/>
          </w:tcPr>
          <w:p w14:paraId="49E6BE29" w14:textId="1C6862BA" w:rsidR="0016045F" w:rsidRDefault="00DE244D">
            <w:r>
              <w:t>Low risk</w:t>
            </w:r>
          </w:p>
        </w:tc>
      </w:tr>
    </w:tbl>
    <w:p w14:paraId="49B22F9A" w14:textId="1C6549AE" w:rsidR="00CD23DD" w:rsidRDefault="00CD23DD">
      <w:pPr>
        <w:rPr>
          <w:b/>
          <w:bCs/>
        </w:rPr>
      </w:pPr>
      <w:r>
        <w:rPr>
          <w:b/>
          <w:bCs/>
        </w:rPr>
        <w:t>Risk Assessment</w:t>
      </w:r>
      <w:r w:rsidR="008021E4">
        <w:rPr>
          <w:b/>
          <w:bCs/>
        </w:rPr>
        <w:t xml:space="preserve"> undertaken by </w:t>
      </w:r>
      <w:r w:rsidR="003D25C1">
        <w:rPr>
          <w:b/>
          <w:bCs/>
        </w:rPr>
        <w:t>Sarah Kitchener</w:t>
      </w:r>
      <w:r w:rsidR="008021E4">
        <w:rPr>
          <w:b/>
          <w:bCs/>
        </w:rPr>
        <w:t xml:space="preserve"> (Clerk</w:t>
      </w:r>
      <w:r w:rsidR="00297EC2">
        <w:rPr>
          <w:b/>
          <w:bCs/>
        </w:rPr>
        <w:t xml:space="preserve"> and RFO</w:t>
      </w:r>
      <w:r w:rsidR="008021E4">
        <w:rPr>
          <w:b/>
          <w:bCs/>
        </w:rPr>
        <w:t xml:space="preserve">) </w:t>
      </w:r>
      <w:r w:rsidR="003D25C1">
        <w:rPr>
          <w:b/>
          <w:bCs/>
        </w:rPr>
        <w:t>14</w:t>
      </w:r>
      <w:r w:rsidR="003D25C1" w:rsidRPr="003D25C1">
        <w:rPr>
          <w:b/>
          <w:bCs/>
          <w:vertAlign w:val="superscript"/>
        </w:rPr>
        <w:t>th</w:t>
      </w:r>
      <w:r w:rsidR="003D25C1">
        <w:rPr>
          <w:b/>
          <w:bCs/>
        </w:rPr>
        <w:t xml:space="preserve"> July</w:t>
      </w:r>
      <w:r w:rsidR="00C574B4">
        <w:rPr>
          <w:b/>
          <w:bCs/>
        </w:rPr>
        <w:t xml:space="preserve"> 2020</w:t>
      </w:r>
      <w:r>
        <w:rPr>
          <w:b/>
          <w:bCs/>
        </w:rPr>
        <w:t xml:space="preserve"> </w:t>
      </w:r>
    </w:p>
    <w:p w14:paraId="18A29F08" w14:textId="7E1376AE" w:rsidR="00CD23DD" w:rsidRDefault="00CD23DD">
      <w:pPr>
        <w:rPr>
          <w:b/>
          <w:bCs/>
        </w:rPr>
      </w:pPr>
      <w:r>
        <w:rPr>
          <w:b/>
          <w:bCs/>
        </w:rPr>
        <w:t>J</w:t>
      </w:r>
      <w:r w:rsidR="00297EC2">
        <w:rPr>
          <w:b/>
          <w:bCs/>
        </w:rPr>
        <w:t>ULY</w:t>
      </w:r>
      <w:r>
        <w:rPr>
          <w:b/>
          <w:bCs/>
        </w:rPr>
        <w:t xml:space="preserve"> 2020</w:t>
      </w:r>
    </w:p>
    <w:p w14:paraId="04D37A87" w14:textId="268632D3" w:rsidR="00DE244D" w:rsidRDefault="00DE244D">
      <w:pPr>
        <w:rPr>
          <w:b/>
          <w:bCs/>
        </w:rPr>
      </w:pPr>
    </w:p>
    <w:bookmarkEnd w:id="0"/>
    <w:p w14:paraId="702BF5EC" w14:textId="45AEB495" w:rsidR="00070E77" w:rsidRPr="00CD23DD" w:rsidRDefault="00070E77">
      <w:pPr>
        <w:rPr>
          <w:b/>
          <w:bCs/>
        </w:rPr>
      </w:pPr>
    </w:p>
    <w:sectPr w:rsidR="00070E77" w:rsidRPr="00CD23DD" w:rsidSect="00C950C0">
      <w:footerReference w:type="default" r:id="rId12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8F4D" w14:textId="77777777" w:rsidR="00F75AF3" w:rsidRDefault="00F75AF3" w:rsidP="00B43EF4">
      <w:pPr>
        <w:spacing w:after="0" w:line="240" w:lineRule="auto"/>
      </w:pPr>
      <w:r>
        <w:separator/>
      </w:r>
    </w:p>
  </w:endnote>
  <w:endnote w:type="continuationSeparator" w:id="0">
    <w:p w14:paraId="0324F18E" w14:textId="77777777" w:rsidR="00F75AF3" w:rsidRDefault="00F75AF3" w:rsidP="00B4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40E37" w14:textId="553E48C2" w:rsidR="00B43EF4" w:rsidRDefault="00B43EF4">
    <w:pPr>
      <w:pStyle w:val="Footer"/>
    </w:pPr>
    <w:r>
      <w:t>Adopted Sept 2020</w:t>
    </w:r>
  </w:p>
  <w:p w14:paraId="517A1597" w14:textId="5C00C839" w:rsidR="00B43EF4" w:rsidRDefault="00E90097">
    <w:pPr>
      <w:pStyle w:val="Footer"/>
    </w:pPr>
    <w:r>
      <w:t>R</w:t>
    </w:r>
    <w:r w:rsidR="00B43EF4">
      <w:t>eview date Sept 2021</w:t>
    </w:r>
  </w:p>
  <w:p w14:paraId="1D6F3772" w14:textId="4EAEE0F6" w:rsidR="00E90097" w:rsidRDefault="00E90097">
    <w:pPr>
      <w:pStyle w:val="Footer"/>
    </w:pPr>
    <w:r>
      <w:t>Next review date 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B145" w14:textId="77777777" w:rsidR="00F75AF3" w:rsidRDefault="00F75AF3" w:rsidP="00B43EF4">
      <w:pPr>
        <w:spacing w:after="0" w:line="240" w:lineRule="auto"/>
      </w:pPr>
      <w:r>
        <w:separator/>
      </w:r>
    </w:p>
  </w:footnote>
  <w:footnote w:type="continuationSeparator" w:id="0">
    <w:p w14:paraId="50B1438A" w14:textId="77777777" w:rsidR="00F75AF3" w:rsidRDefault="00F75AF3" w:rsidP="00B4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661"/>
    <w:multiLevelType w:val="hybridMultilevel"/>
    <w:tmpl w:val="AF841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578A5"/>
    <w:multiLevelType w:val="hybridMultilevel"/>
    <w:tmpl w:val="F77E2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B6B93"/>
    <w:multiLevelType w:val="hybridMultilevel"/>
    <w:tmpl w:val="49ACB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A35AF9"/>
    <w:multiLevelType w:val="hybridMultilevel"/>
    <w:tmpl w:val="992EE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8B66CE"/>
    <w:multiLevelType w:val="hybridMultilevel"/>
    <w:tmpl w:val="94EE1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004"/>
    <w:rsid w:val="00017DA1"/>
    <w:rsid w:val="000614CA"/>
    <w:rsid w:val="00070127"/>
    <w:rsid w:val="00070E77"/>
    <w:rsid w:val="00096BAC"/>
    <w:rsid w:val="00156004"/>
    <w:rsid w:val="0016045F"/>
    <w:rsid w:val="00236374"/>
    <w:rsid w:val="00297EC2"/>
    <w:rsid w:val="00327216"/>
    <w:rsid w:val="0036485A"/>
    <w:rsid w:val="003C7D79"/>
    <w:rsid w:val="003D25C1"/>
    <w:rsid w:val="003E7233"/>
    <w:rsid w:val="00493247"/>
    <w:rsid w:val="00544B69"/>
    <w:rsid w:val="0055712A"/>
    <w:rsid w:val="0057159A"/>
    <w:rsid w:val="0059312F"/>
    <w:rsid w:val="00612366"/>
    <w:rsid w:val="00622F46"/>
    <w:rsid w:val="00685BA4"/>
    <w:rsid w:val="006C1381"/>
    <w:rsid w:val="00703465"/>
    <w:rsid w:val="00711DD6"/>
    <w:rsid w:val="007F25CB"/>
    <w:rsid w:val="008021E4"/>
    <w:rsid w:val="008C6E9D"/>
    <w:rsid w:val="00915DA4"/>
    <w:rsid w:val="00930531"/>
    <w:rsid w:val="009576B1"/>
    <w:rsid w:val="00A3682B"/>
    <w:rsid w:val="00A82CD6"/>
    <w:rsid w:val="00A91A91"/>
    <w:rsid w:val="00AD086B"/>
    <w:rsid w:val="00B43EF4"/>
    <w:rsid w:val="00B45A0E"/>
    <w:rsid w:val="00BC3A58"/>
    <w:rsid w:val="00C06F74"/>
    <w:rsid w:val="00C318ED"/>
    <w:rsid w:val="00C574B4"/>
    <w:rsid w:val="00C950C0"/>
    <w:rsid w:val="00CA1F56"/>
    <w:rsid w:val="00CD23DD"/>
    <w:rsid w:val="00D22FBC"/>
    <w:rsid w:val="00D838E9"/>
    <w:rsid w:val="00DD1AFF"/>
    <w:rsid w:val="00DE244D"/>
    <w:rsid w:val="00DF2379"/>
    <w:rsid w:val="00E17868"/>
    <w:rsid w:val="00E90097"/>
    <w:rsid w:val="00EA439F"/>
    <w:rsid w:val="00EB0C88"/>
    <w:rsid w:val="00F75AF3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B10A"/>
  <w15:chartTrackingRefBased/>
  <w15:docId w15:val="{857CC5C0-FD19-4C87-A7B6-F968CEF1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4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4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086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43E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E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EF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43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EF4"/>
  </w:style>
  <w:style w:type="paragraph" w:styleId="Footer">
    <w:name w:val="footer"/>
    <w:basedOn w:val="Normal"/>
    <w:link w:val="FooterChar"/>
    <w:uiPriority w:val="99"/>
    <w:unhideWhenUsed/>
    <w:rsid w:val="00B43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guidance-for-managing-playgrounds-and-outdoor-gyms/covid-19-guidance-for-managing-playgrounds-and-outdoor-gym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6D18B1214F94293955D1C01678D9C" ma:contentTypeVersion="10" ma:contentTypeDescription="Create a new document." ma:contentTypeScope="" ma:versionID="c0d715b63e2c0ebd4f71471cbfc1079d">
  <xsd:schema xmlns:xsd="http://www.w3.org/2001/XMLSchema" xmlns:xs="http://www.w3.org/2001/XMLSchema" xmlns:p="http://schemas.microsoft.com/office/2006/metadata/properties" xmlns:ns3="35f84b72-13ba-4bcf-ba37-f2a11aa1668f" targetNamespace="http://schemas.microsoft.com/office/2006/metadata/properties" ma:root="true" ma:fieldsID="68f4ce08b35662efa7f1533609060f33" ns3:_="">
    <xsd:import namespace="35f84b72-13ba-4bcf-ba37-f2a11aa166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84b72-13ba-4bcf-ba37-f2a11aa16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91BB-7592-4284-AB14-B69F12B5ED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84b72-13ba-4bcf-ba37-f2a11aa166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0D57E-22D4-4C71-B191-C00E6F4BD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8749C3-C7EA-4553-A476-68BC60D286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68332-706F-421A-9963-336050CA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crakehall pc</dc:creator>
  <cp:keywords/>
  <dc:description/>
  <cp:lastModifiedBy>Sarah Alldread</cp:lastModifiedBy>
  <cp:revision>3</cp:revision>
  <cp:lastPrinted>2020-09-04T16:26:00Z</cp:lastPrinted>
  <dcterms:created xsi:type="dcterms:W3CDTF">2021-08-31T07:43:00Z</dcterms:created>
  <dcterms:modified xsi:type="dcterms:W3CDTF">2021-08-31T07:43:00Z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0x0101007AA6D18B1214F94293955D1C01678D9C</vt:lpwstr>
  </property>
</Properties>
</file>